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24d7e8dc93f1659a3dcc398732ea6b68b7f2eb6"/>
    <w:p>
      <w:pPr>
        <w:pStyle w:val="Heading1"/>
      </w:pPr>
      <w:r>
        <w:t xml:space="preserve">ResMed (NYSE: RMD) — FY2026 Q4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ResMed’s fiscal Q4 2026 earnings call is scheduled for</w:t>
      </w:r>
      <w:r>
        <w:t xml:space="preserve"> </w:t>
      </w:r>
      <w:r>
        <w:rPr>
          <w:b/>
          <w:bCs/>
        </w:rPr>
        <w:t xml:space="preserve">today, Thursday, August 6, 2026</w:t>
      </w:r>
      <w:r>
        <w:t xml:space="preserve">—not tomorrow. The company confirmed this date in its July 7 filing.</w:t>
      </w:r>
    </w:p>
    <w:bookmarkStart w:id="9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ResMed enters the quarter with a strong operating backdrop: sleep-and-breathing revenue has been growing at a high-single-digit constant-currency rate, masks and accessories remain the standout category, gross margin has expanded sharply, and free-cash-flow generation supports both investment and aggressive shareholder returns.</w:t>
      </w:r>
    </w:p>
    <w:p>
      <w:pPr>
        <w:pStyle w:val="BodyText"/>
      </w:pPr>
      <w:r>
        <w:t xml:space="preserve">The central issue for investors is unlikely to be the June-quarter print alone. Instead, the stock reaction should hinge on</w:t>
      </w:r>
      <w:r>
        <w:t xml:space="preserve"> </w:t>
      </w:r>
      <w:r>
        <w:rPr>
          <w:b/>
          <w:bCs/>
        </w:rPr>
        <w:t xml:space="preserve">the shape of FY2027 guidance</w:t>
      </w:r>
      <w:r>
        <w:t xml:space="preserve"> </w:t>
      </w:r>
      <w:r>
        <w:t xml:space="preserve">and management’s framing of three moving pieces: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Core PAP device and mask growth</w:t>
      </w:r>
      <w:r>
        <w:t xml:space="preserve">, particularly U.S. device demand and whether GLP-1-driven sleep-apnea awareness is becoming more visible in prescriptions and setups.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 durability</w:t>
      </w:r>
      <w:r>
        <w:t xml:space="preserve">, after substantial component-cost, logistics, and manufacturing benefits.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Portfolio reshaping</w:t>
      </w:r>
      <w:r>
        <w:t xml:space="preserve">: the sale of MatrixCare and the addition of Noctrix. These moves improve strategic focus but create a reported revenue/profit headwind and near-term EPS dilution in FY2027.</w:t>
      </w:r>
    </w:p>
    <w:p>
      <w:pPr>
        <w:pStyle w:val="FirstParagraph"/>
      </w:pPr>
      <w:r>
        <w:t xml:space="preserve">RMD closed at</w:t>
      </w:r>
      <w:r>
        <w:t xml:space="preserve"> </w:t>
      </w:r>
      <w:r>
        <w:rPr>
          <w:b/>
          <w:bCs/>
        </w:rPr>
        <w:t xml:space="preserve">$224.07 on August 5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11.4% since July 1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16.8% from its July 23 low</w:t>
      </w:r>
      <w:r>
        <w:t xml:space="preserve">, suggesting investor expectations have improved into the print.</w:t>
      </w:r>
    </w:p>
    <w:p>
      <w:r>
        <w:pict>
          <v:rect style="width:0;height:1.5pt" o:hralign="center" o:hrstd="t" o:hr="t"/>
        </w:pict>
      </w:r>
    </w:p>
    <w:bookmarkEnd w:id="9"/>
    <w:bookmarkStart w:id="12" w:name="what-matters-most-this-quarter"/>
    <w:p>
      <w:pPr>
        <w:pStyle w:val="Heading2"/>
      </w:pPr>
      <w:r>
        <w:t xml:space="preserve">What matters most this quarter</w:t>
      </w:r>
    </w:p>
    <w:bookmarkStart w:id="10" w:name="X63e721ffc04d90d5df5dcf3bf4d8273ae069533"/>
    <w:p>
      <w:pPr>
        <w:pStyle w:val="Heading3"/>
      </w:pPr>
      <w:r>
        <w:t xml:space="preserve">1. The core growth engine: devices, masks, and resupply</w:t>
      </w:r>
    </w:p>
    <w:p>
      <w:pPr>
        <w:pStyle w:val="FirstParagraph"/>
      </w:pPr>
      <w:r>
        <w:t xml:space="preserve">In fiscal Q3, ResMed delivered</w:t>
      </w:r>
      <w:r>
        <w:t xml:space="preserve"> </w:t>
      </w:r>
      <w:r>
        <w:rPr>
          <w:b/>
          <w:bCs/>
        </w:rPr>
        <w:t xml:space="preserve">8% constant-currency revenue growth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FY2026 Q3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constant-currency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devices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masks &amp; other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U.S./Canada/Latin America sleep-and-breathing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9% reported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Europe/Asia/other sleep-and-breathing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Residential Care Software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4%</w:t>
            </w:r>
          </w:p>
        </w:tc>
      </w:tr>
    </w:tbl>
    <w:p>
      <w:pPr>
        <w:pStyle w:val="BodyText"/>
      </w:pPr>
      <w:r>
        <w:t xml:space="preserve">The most encouraging feature was the mix: masks and other grew twice as fast as devices on a constant-currency basis. This category benefits from both new patient setups and recurring resupply, and it carries attractive economics.</w:t>
      </w:r>
    </w:p>
    <w:p>
      <w:pPr>
        <w:pStyle w:val="BodyText"/>
      </w:pPr>
      <w:r>
        <w:t xml:space="preserve">For Q4, investors should focus on: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U.S. device growth:</w:t>
      </w:r>
      <w:r>
        <w:t xml:space="preserve"> </w:t>
      </w:r>
      <w:r>
        <w:t xml:space="preserve">Q3’s 6% U.S./Canada/Latin America device growth was solid but not an acceleration from the prior quarter. Sustained mid- to high-single-digit growth would reinforce the view that ResMed is holding or gaining share.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Mask momentum:</w:t>
      </w:r>
      <w:r>
        <w:t xml:space="preserve"> </w:t>
      </w:r>
      <w:r>
        <w:t xml:space="preserve">The AirTouch fabric-mask family, including the F30i Comfort and F30i Clear, is an important commercial driver. Management has highlighted better adherence data and early uptake; the key question is whether premium masks can continue to drive growth without creating reimbursement friction for home medical equipment providers.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International demand:</w:t>
      </w:r>
      <w:r>
        <w:t xml:space="preserve"> </w:t>
      </w:r>
      <w:r>
        <w:t xml:space="preserve">China, Latin America, and broader Asia-Pacific are meaningful long-term opportunities, especially as AirSense 11 expands geographically.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VirtuOx contribution:</w:t>
      </w:r>
      <w:r>
        <w:t xml:space="preserve"> </w:t>
      </w:r>
      <w:r>
        <w:t xml:space="preserve">The at-home diagnostic testing acquisition helps ResMed participate earlier in the patient pathway—from screening and diagnosis through PAP setup and resupply.</w:t>
      </w:r>
    </w:p>
    <w:bookmarkEnd w:id="10"/>
    <w:bookmarkStart w:id="11" w:name="Xaa1946311f6baaf16131f00623ac05d714f2646"/>
    <w:p>
      <w:pPr>
        <w:pStyle w:val="Heading3"/>
      </w:pPr>
      <w:r>
        <w:t xml:space="preserve">2. GLP-1s are a demand-generation opportunity—not yet a discrete revenue line</w:t>
      </w:r>
    </w:p>
    <w:p>
      <w:pPr>
        <w:pStyle w:val="FirstParagraph"/>
      </w:pPr>
      <w:r>
        <w:t xml:space="preserve">Management’s core argument is that GLP-1 therapies should expand, rather than shrink, the PAP opportunity: weight loss may improve sleep apnea for some patients, but many still require PAP treatment due to age, anatomy, and other factors. ResMed has cited internal real-world analyses suggesting patients using both PAP and GLP-1 therapy are more likely to initiate and remain on PAP therapy.</w:t>
      </w:r>
    </w:p>
    <w:p>
      <w:pPr>
        <w:pStyle w:val="BodyText"/>
      </w:pPr>
      <w:r>
        <w:t xml:space="preserve">The important distinction for this earnings call:</w:t>
      </w:r>
      <w:r>
        <w:t xml:space="preserve"> </w:t>
      </w:r>
      <w:r>
        <w:rPr>
          <w:b/>
          <w:bCs/>
        </w:rPr>
        <w:t xml:space="preserve">GLP-1s are a multi-year funnel tailwind, not necessarily a near-term quarterly step-change.</w:t>
      </w:r>
      <w:r>
        <w:t xml:space="preserve"> </w:t>
      </w:r>
      <w:r>
        <w:t xml:space="preserve">Investors should listen for tangible leading indicators:</w:t>
      </w:r>
    </w:p>
    <w:p>
      <w:pPr>
        <w:pStyle w:val="Compact"/>
        <w:numPr>
          <w:ilvl w:val="0"/>
          <w:numId w:val="1003"/>
        </w:numPr>
      </w:pPr>
      <w:r>
        <w:t xml:space="preserve">Growth in home sleep tests and primary-care referrals;</w:t>
      </w:r>
    </w:p>
    <w:p>
      <w:pPr>
        <w:pStyle w:val="Compact"/>
        <w:numPr>
          <w:ilvl w:val="0"/>
          <w:numId w:val="1003"/>
        </w:numPr>
      </w:pPr>
      <w:r>
        <w:t xml:space="preserve">PAP setup conversion and 90-day adherence;</w:t>
      </w:r>
    </w:p>
    <w:p>
      <w:pPr>
        <w:pStyle w:val="Compact"/>
        <w:numPr>
          <w:ilvl w:val="0"/>
          <w:numId w:val="1003"/>
        </w:numPr>
      </w:pPr>
      <w:r>
        <w:t xml:space="preserve">Device growth relative to the historical mid-single-digit market trajectory;</w:t>
      </w:r>
    </w:p>
    <w:p>
      <w:pPr>
        <w:pStyle w:val="Compact"/>
        <w:numPr>
          <w:ilvl w:val="0"/>
          <w:numId w:val="1003"/>
        </w:numPr>
      </w:pPr>
      <w:r>
        <w:t xml:space="preserve">Commentary on oral GLP-1 uptake and direct-to-consumer awareness campaigns.</w:t>
      </w:r>
    </w:p>
    <w:p>
      <w:pPr>
        <w:pStyle w:val="FirstParagraph"/>
      </w:pPr>
      <w:r>
        <w:t xml:space="preserve">A more confident management tone around these indicators would support the longer-term growth narrative, even if quarterly device growth remains in the mid-single digits.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X2c7a2f5fd89f196a9acbeb3332fd11ebb91e125"/>
    <w:p>
      <w:pPr>
        <w:pStyle w:val="Heading2"/>
      </w:pPr>
      <w:r>
        <w:t xml:space="preserve">Margin: the near-term financial swing factor</w:t>
      </w:r>
    </w:p>
    <w:p>
      <w:pPr>
        <w:pStyle w:val="FirstParagraph"/>
      </w:pPr>
      <w:r>
        <w:t xml:space="preserve">ResMed’s margin execution has been exceptional. In Q3, non-GAAP gross margin reached</w:t>
      </w:r>
      <w:r>
        <w:t xml:space="preserve"> </w:t>
      </w:r>
      <w:r>
        <w:rPr>
          <w:b/>
          <w:bCs/>
        </w:rPr>
        <w:t xml:space="preserve">62.8%</w:t>
      </w:r>
      <w:r>
        <w:t xml:space="preserve">, up</w:t>
      </w:r>
      <w:r>
        <w:t xml:space="preserve"> </w:t>
      </w:r>
      <w:r>
        <w:rPr>
          <w:b/>
          <w:bCs/>
        </w:rPr>
        <w:t xml:space="preserve">290 basis points year over year</w:t>
      </w:r>
      <w:r>
        <w:t xml:space="preserve"> </w:t>
      </w:r>
      <w:r>
        <w:t xml:space="preserve">and 50 basis points sequentially. Management attributed the improvement to component-cost reductions, manufacturing and logistics efficiencies, favorable mix, and currency.</w:t>
      </w:r>
    </w:p>
    <w:p>
      <w:pPr>
        <w:pStyle w:val="BodyText"/>
      </w:pPr>
      <w:r>
        <w:t xml:space="preserve">For FY2026, the company reiterated: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FY2026 operating framework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62%–63%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SG&amp;A as % of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19%–20%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R&amp;D as % of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6%–7%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Effective tax 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21%–23%</w:t>
            </w:r>
          </w:p>
        </w:tc>
      </w:tr>
    </w:tbl>
    <w:p>
      <w:pPr>
        <w:pStyle w:val="BodyText"/>
      </w:pPr>
      <w:r>
        <w:t xml:space="preserve">The Q4 question is therefore less about whether ResMed can meet its FY2026 framework—it reiterated that framework in July—and more about</w:t>
      </w:r>
      <w:r>
        <w:t xml:space="preserve"> </w:t>
      </w:r>
      <w:r>
        <w:rPr>
          <w:b/>
          <w:bCs/>
        </w:rPr>
        <w:t xml:space="preserve">the FY2027 slope</w:t>
      </w:r>
      <w:r>
        <w:t xml:space="preserve">.</w:t>
      </w:r>
    </w:p>
    <w:bookmarkStart w:id="13" w:name="what-could-pressure-margins"/>
    <w:p>
      <w:pPr>
        <w:pStyle w:val="Heading3"/>
      </w:pPr>
      <w:r>
        <w:t xml:space="preserve">What could pressure margins?</w:t>
      </w:r>
    </w:p>
    <w:p>
      <w:pPr>
        <w:pStyle w:val="Compact"/>
        <w:numPr>
          <w:ilvl w:val="0"/>
          <w:numId w:val="1004"/>
        </w:numPr>
      </w:pPr>
      <w:r>
        <w:t xml:space="preserve">Higher component and freight costs;</w:t>
      </w:r>
    </w:p>
    <w:p>
      <w:pPr>
        <w:pStyle w:val="Compact"/>
        <w:numPr>
          <w:ilvl w:val="0"/>
          <w:numId w:val="1004"/>
        </w:numPr>
      </w:pPr>
      <w:r>
        <w:t xml:space="preserve">More investment behind Noctrix, diagnostics, digital pathways, and new product launches;</w:t>
      </w:r>
    </w:p>
    <w:p>
      <w:pPr>
        <w:pStyle w:val="Compact"/>
        <w:numPr>
          <w:ilvl w:val="0"/>
          <w:numId w:val="1004"/>
        </w:numPr>
      </w:pPr>
      <w:r>
        <w:t xml:space="preserve">Potential mix effects from geographic growth;</w:t>
      </w:r>
    </w:p>
    <w:p>
      <w:pPr>
        <w:pStyle w:val="Compact"/>
        <w:numPr>
          <w:ilvl w:val="0"/>
          <w:numId w:val="1004"/>
        </w:numPr>
      </w:pPr>
      <w:r>
        <w:t xml:space="preserve">Residual stranded-cost risk after the MatrixCare divestiture.</w:t>
      </w:r>
    </w:p>
    <w:bookmarkEnd w:id="13"/>
    <w:bookmarkStart w:id="14" w:name="what-could-offset-those-pressures"/>
    <w:p>
      <w:pPr>
        <w:pStyle w:val="Heading3"/>
      </w:pPr>
      <w:r>
        <w:t xml:space="preserve">What could offset those pressures?</w:t>
      </w:r>
    </w:p>
    <w:p>
      <w:pPr>
        <w:pStyle w:val="Compact"/>
        <w:numPr>
          <w:ilvl w:val="0"/>
          <w:numId w:val="1005"/>
        </w:numPr>
      </w:pPr>
      <w:r>
        <w:t xml:space="preserve">Continuing supply-chain productivity;</w:t>
      </w:r>
    </w:p>
    <w:p>
      <w:pPr>
        <w:pStyle w:val="Compact"/>
        <w:numPr>
          <w:ilvl w:val="0"/>
          <w:numId w:val="1005"/>
        </w:numPr>
      </w:pPr>
      <w:r>
        <w:t xml:space="preserve">Higher-margin mask and resupply mix;</w:t>
      </w:r>
    </w:p>
    <w:p>
      <w:pPr>
        <w:pStyle w:val="Compact"/>
        <w:numPr>
          <w:ilvl w:val="0"/>
          <w:numId w:val="1005"/>
        </w:numPr>
      </w:pPr>
      <w:r>
        <w:t xml:space="preserve">Platform scale and manufacturing efficiencies;</w:t>
      </w:r>
    </w:p>
    <w:p>
      <w:pPr>
        <w:pStyle w:val="Compact"/>
        <w:numPr>
          <w:ilvl w:val="0"/>
          <w:numId w:val="1005"/>
        </w:numPr>
      </w:pPr>
      <w:r>
        <w:t xml:space="preserve">Operating leverage from sustained high-single-digit core growth.</w:t>
      </w:r>
    </w:p>
    <w:p>
      <w:pPr>
        <w:pStyle w:val="FirstParagraph"/>
      </w:pPr>
      <w:r>
        <w:t xml:space="preserve">Management has said it still targets gross-margin accretion over time, despite emerging component and fuel-cost pressures. That confidence will be tested in FY2027 guidance.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X8feef14a6a12a753050556919973e44368b843b"/>
    <w:p>
      <w:pPr>
        <w:pStyle w:val="Heading2"/>
      </w:pPr>
      <w:r>
        <w:t xml:space="preserve">Portfolio changes make FY2027 guidance unusually important</w:t>
      </w:r>
    </w:p>
    <w:bookmarkStart w:id="16" w:name="Xd68b1ad38be498b55bba287be945cdfd7d4d773"/>
    <w:p>
      <w:pPr>
        <w:pStyle w:val="Heading3"/>
      </w:pPr>
      <w:r>
        <w:t xml:space="preserve">MatrixCare sale: strategically cleaner, mechanically dilutive to reported growth</w:t>
      </w:r>
    </w:p>
    <w:p>
      <w:pPr>
        <w:pStyle w:val="FirstParagraph"/>
      </w:pPr>
      <w:r>
        <w:t xml:space="preserve">On July 7, ResMed agreed to sell its MatrixCare business to Frazier Healthcare Partners for</w:t>
      </w:r>
      <w:r>
        <w:t xml:space="preserve"> </w:t>
      </w:r>
      <w:r>
        <w:rPr>
          <w:b/>
          <w:bCs/>
        </w:rPr>
        <w:t xml:space="preserve">$490 million in cash</w:t>
      </w:r>
      <w:r>
        <w:t xml:space="preserve">, subject to customary adjustments and closing conditions. Management said MatrixCare represented approximately: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$220 million of FY2026 revenue</w:t>
      </w:r>
      <w:r>
        <w:t xml:space="preserve">, and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$55 million of non-GAAP operating profit</w:t>
      </w:r>
      <w:r>
        <w:t xml:space="preserve">.</w:t>
      </w:r>
    </w:p>
    <w:p>
      <w:pPr>
        <w:pStyle w:val="FirstParagraph"/>
      </w:pPr>
      <w:r>
        <w:t xml:space="preserve">The transaction is expected to close in the</w:t>
      </w:r>
      <w:r>
        <w:t xml:space="preserve"> </w:t>
      </w:r>
      <w:r>
        <w:rPr>
          <w:b/>
          <w:bCs/>
        </w:rPr>
        <w:t xml:space="preserve">first quarter of fiscal 2027</w:t>
      </w:r>
      <w:r>
        <w:t xml:space="preserve">. ResMed plans to use net proceeds for capital returns—including an accelerated share repurchase program—and general corporate purposes.</w:t>
      </w:r>
    </w:p>
    <w:p>
      <w:pPr>
        <w:pStyle w:val="BodyText"/>
      </w:pPr>
      <w:r>
        <w:t xml:space="preserve">The strategic rationale is sensible: MatrixCare was a lower-growth portion of Residential Care Software, while ResMed wants to invest behind higher-growth care-at-home, sleep, and respiratory opportunities. But investors will need clear answers on:</w:t>
      </w:r>
    </w:p>
    <w:p>
      <w:pPr>
        <w:pStyle w:val="Compact"/>
        <w:numPr>
          <w:ilvl w:val="0"/>
          <w:numId w:val="1007"/>
        </w:numPr>
      </w:pPr>
      <w:r>
        <w:t xml:space="preserve">FY2027 reported revenue growth</w:t>
      </w:r>
      <w:r>
        <w:t xml:space="preserve"> </w:t>
      </w:r>
      <w:r>
        <w:rPr>
          <w:b/>
          <w:bCs/>
        </w:rPr>
        <w:t xml:space="preserve">with and without MatrixCare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The timing and magnitude of stranded-cost removal;</w:t>
      </w:r>
    </w:p>
    <w:p>
      <w:pPr>
        <w:pStyle w:val="Compact"/>
        <w:numPr>
          <w:ilvl w:val="0"/>
          <w:numId w:val="1007"/>
        </w:numPr>
      </w:pPr>
      <w:r>
        <w:t xml:space="preserve">The expected size and timing of the accelerated share repurchase;</w:t>
      </w:r>
    </w:p>
    <w:p>
      <w:pPr>
        <w:pStyle w:val="Compact"/>
        <w:numPr>
          <w:ilvl w:val="0"/>
          <w:numId w:val="1007"/>
        </w:numPr>
      </w:pPr>
      <w:r>
        <w:t xml:space="preserve">Whether remaining Residential Care Software can indeed return to high-single-digit growth with operating leverage.</w:t>
      </w:r>
    </w:p>
    <w:p>
      <w:pPr>
        <w:pStyle w:val="FirstParagraph"/>
      </w:pPr>
      <w:r>
        <w:t xml:space="preserve">Management has said transition-services agreements should largely offset stranded costs in the first year after close, but the durability of that statement will be a key call topic.</w:t>
      </w:r>
    </w:p>
    <w:bookmarkEnd w:id="16"/>
    <w:bookmarkStart w:id="17" w:name="Xee3d968d38d3814b2ece2f439f0cfe3a9726b6a"/>
    <w:p>
      <w:pPr>
        <w:pStyle w:val="Heading3"/>
      </w:pPr>
      <w:r>
        <w:t xml:space="preserve">Noctrix: strategically attractive but near-term dilutive</w:t>
      </w:r>
    </w:p>
    <w:p>
      <w:pPr>
        <w:pStyle w:val="FirstParagraph"/>
      </w:pPr>
      <w:r>
        <w:t xml:space="preserve">ResMed acquired Noctrix, developer of the Nidra therapy for restless legs syndrome, in June. The asset broadens ResMed’s reach in sleep health and uses familiar sleep-physician and HME/DME distribution channels.</w:t>
      </w:r>
    </w:p>
    <w:p>
      <w:pPr>
        <w:pStyle w:val="BodyText"/>
      </w:pPr>
      <w:r>
        <w:t xml:space="preserve">However, it is not immediately accretive:</w:t>
      </w:r>
    </w:p>
    <w:p>
      <w:pPr>
        <w:pStyle w:val="Compact"/>
        <w:numPr>
          <w:ilvl w:val="0"/>
          <w:numId w:val="1008"/>
        </w:numPr>
      </w:pPr>
      <w:r>
        <w:t xml:space="preserve">ResMed previously expected about</w:t>
      </w:r>
      <w:r>
        <w:t xml:space="preserve"> </w:t>
      </w:r>
      <w:r>
        <w:rPr>
          <w:b/>
          <w:bCs/>
        </w:rPr>
        <w:t xml:space="preserve">$0.02 of non-GAAP EPS dilution in Q4 FY2026</w:t>
      </w:r>
      <w:r>
        <w:t xml:space="preserve"> </w:t>
      </w:r>
      <w:r>
        <w:t xml:space="preserve">from Noctrix.</w:t>
      </w:r>
    </w:p>
    <w:p>
      <w:pPr>
        <w:pStyle w:val="Compact"/>
        <w:numPr>
          <w:ilvl w:val="0"/>
          <w:numId w:val="1008"/>
        </w:numPr>
      </w:pPr>
      <w:r>
        <w:t xml:space="preserve">It now expects Noctrix to contribute roughly</w:t>
      </w:r>
      <w:r>
        <w:t xml:space="preserve"> </w:t>
      </w:r>
      <m:oMath>
        <m:r>
          <m:t>30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d</m:t>
        </m:r>
        <m:r>
          <m:t>u</m:t>
        </m:r>
        <m:r>
          <m:t>c</m:t>
        </m:r>
        <m:r>
          <m:t>e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G</m:t>
        </m:r>
        <m:r>
          <m:t>A</m:t>
        </m:r>
        <m:r>
          <m:t>A</m:t>
        </m:r>
        <m:r>
          <m:t>P</m:t>
        </m:r>
        <m:r>
          <m:t>d</m:t>
        </m:r>
        <m:r>
          <m:t>i</m:t>
        </m:r>
        <m:r>
          <m:t>l</m:t>
        </m:r>
        <m:r>
          <m:t>u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b</m:t>
        </m:r>
        <m:r>
          <m:t>y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0.20 in FY2027</w:t>
      </w:r>
      <w:r>
        <w:t xml:space="preserve">.</w:t>
      </w:r>
    </w:p>
    <w:p>
      <w:pPr>
        <w:pStyle w:val="FirstParagraph"/>
      </w:pPr>
      <w:r>
        <w:t xml:space="preserve">Investors should view Noctrix as a strategic growth investment rather than a near-term earnings driver. The relevant question is whether management can articulate a credible reimbursement, distribution, and adoption path that justifies accelerating investment.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Xdc7c301e7c4f5366d746ac104643b9431b29f1a"/>
    <w:p>
      <w:pPr>
        <w:pStyle w:val="Heading2"/>
      </w:pPr>
      <w:r>
        <w:t xml:space="preserve">Earnings framework: a useful, non-consensus baseline</w:t>
      </w:r>
    </w:p>
    <w:p>
      <w:pPr>
        <w:pStyle w:val="FirstParagraph"/>
      </w:pPr>
      <w:r>
        <w:t xml:space="preserve">ResMed reported</w:t>
      </w:r>
      <w:r>
        <w:t xml:space="preserve"> </w:t>
      </w:r>
      <m:oMath>
        <m:r>
          <m:t>1.348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i</m:t>
        </m:r>
        <m:r>
          <m:t>n</m:t>
        </m:r>
        <m:r>
          <m:t>Q</m:t>
        </m:r>
        <m:r>
          <m:t>4</m:t>
        </m:r>
        <m:r>
          <m:t>F</m:t>
        </m:r>
        <m:r>
          <m:t>Y</m:t>
        </m:r>
        <m:r>
          <m:t>2025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9</m:t>
        </m:r>
      </m:oMath>
      <w:r>
        <w:rPr>
          <w:b/>
          <w:bCs/>
        </w:rPr>
        <w:t xml:space="preserve">1.46 billion to $1.47 billion</w:t>
      </w:r>
      <w:r>
        <w:t xml:space="preserve"> </w:t>
      </w:r>
      <w:r>
        <w:t xml:space="preserve">before considering the actual currency translation and acquisition-related impacts. This is an illustrative growth framework—not a sell-side consensus estimate.</w:t>
      </w:r>
    </w:p>
    <w:p>
      <w:pPr>
        <w:pStyle w:val="BodyText"/>
      </w:pPr>
      <w:r>
        <w:t xml:space="preserve">For context, last year’s Q4 delivered: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FY2025 Q4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$1.348B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$539M</w:t>
            </w:r>
          </w:p>
        </w:tc>
      </w:tr>
    </w:tbl>
    <w:p>
      <w:pPr>
        <w:pStyle w:val="BodyText"/>
      </w:pPr>
      <w:r>
        <w:t xml:space="preserve">The potential setup for FY2026 Q4 is favorable because the year-ago margin base is lower and ResMed has already demonstrated meaningful margin improvement through the first nine months of FY2026. Offsetting that benefit are Noctrix dilution, higher investment levels, a higher tax rate than the prior year, and potentially less favorable component-cost tailwinds.</w:t>
      </w:r>
    </w:p>
    <w:p>
      <w:r>
        <w:pict>
          <v:rect style="width:0;height:1.5pt" o:hralign="center" o:hrstd="t" o:hr="t"/>
        </w:pict>
      </w:r>
    </w:p>
    <w:bookmarkEnd w:id="19"/>
    <w:bookmarkStart w:id="23" w:name="bull-base-and-bear-framing"/>
    <w:p>
      <w:pPr>
        <w:pStyle w:val="Heading2"/>
      </w:pPr>
      <w:r>
        <w:t xml:space="preserve">Bull, base, and bear framing</w:t>
      </w:r>
    </w:p>
    <w:bookmarkStart w:id="20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9"/>
        </w:numPr>
      </w:pPr>
      <w:r>
        <w:t xml:space="preserve">Core revenue sustains or exceeds high-single-digit constant-currency growth;</w:t>
      </w:r>
    </w:p>
    <w:p>
      <w:pPr>
        <w:pStyle w:val="Compact"/>
        <w:numPr>
          <w:ilvl w:val="0"/>
          <w:numId w:val="1009"/>
        </w:numPr>
      </w:pPr>
      <w:r>
        <w:t xml:space="preserve">U.S. device growth accelerates, validating PAP demand and early GLP-1-related funnel benefits;</w:t>
      </w:r>
    </w:p>
    <w:p>
      <w:pPr>
        <w:pStyle w:val="Compact"/>
        <w:numPr>
          <w:ilvl w:val="0"/>
          <w:numId w:val="1009"/>
        </w:numPr>
      </w:pPr>
      <w:r>
        <w:t xml:space="preserve">Masks/resupply remain firmly double digit;</w:t>
      </w:r>
    </w:p>
    <w:p>
      <w:pPr>
        <w:pStyle w:val="Compact"/>
        <w:numPr>
          <w:ilvl w:val="0"/>
          <w:numId w:val="1009"/>
        </w:numPr>
      </w:pPr>
      <w:r>
        <w:t xml:space="preserve">Gross margin lands at or above the high end of the FY2026 framework;</w:t>
      </w:r>
    </w:p>
    <w:p>
      <w:pPr>
        <w:pStyle w:val="Compact"/>
        <w:numPr>
          <w:ilvl w:val="0"/>
          <w:numId w:val="1009"/>
        </w:numPr>
      </w:pPr>
      <w:r>
        <w:t xml:space="preserve">FY2027 organic guidance supports high-single-digit growth and earnings growth faster than revenue;</w:t>
      </w:r>
    </w:p>
    <w:p>
      <w:pPr>
        <w:pStyle w:val="Compact"/>
        <w:numPr>
          <w:ilvl w:val="0"/>
          <w:numId w:val="1009"/>
        </w:numPr>
      </w:pPr>
      <w:r>
        <w:t xml:space="preserve">MatrixCare proceeds fund a meaningful ASR, cushioning the earnings impact of the divestiture and Noctrix investment.</w:t>
      </w:r>
    </w:p>
    <w:bookmarkEnd w:id="20"/>
    <w:bookmarkStart w:id="21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0"/>
        </w:numPr>
      </w:pPr>
      <w:r>
        <w:t xml:space="preserve">Q4 tracks the established pattern: mid-single-digit device growth, double-digit mask growth, solid international performance, and margin within the 62%–63% gross-margin framework;</w:t>
      </w:r>
    </w:p>
    <w:p>
      <w:pPr>
        <w:pStyle w:val="Compact"/>
        <w:numPr>
          <w:ilvl w:val="0"/>
          <w:numId w:val="1010"/>
        </w:numPr>
      </w:pPr>
      <w:r>
        <w:t xml:space="preserve">FY2027 guidance shows healthy core growth but is complicated by MatrixCare’s sale and Noctrix dilution;</w:t>
      </w:r>
    </w:p>
    <w:p>
      <w:pPr>
        <w:pStyle w:val="Compact"/>
        <w:numPr>
          <w:ilvl w:val="0"/>
          <w:numId w:val="1010"/>
        </w:numPr>
      </w:pPr>
      <w:r>
        <w:t xml:space="preserve">Management reiterates long-term confidence but emphasizes investment and transition mechanics.</w:t>
      </w:r>
    </w:p>
    <w:bookmarkEnd w:id="21"/>
    <w:bookmarkStart w:id="22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1"/>
        </w:numPr>
      </w:pPr>
      <w:r>
        <w:t xml:space="preserve">U.S. device growth slows, raising concerns that the GLP-1/diagnostic funnel is not translating into PAP setups;</w:t>
      </w:r>
    </w:p>
    <w:p>
      <w:pPr>
        <w:pStyle w:val="Compact"/>
        <w:numPr>
          <w:ilvl w:val="0"/>
          <w:numId w:val="1011"/>
        </w:numPr>
      </w:pPr>
      <w:r>
        <w:t xml:space="preserve">Mask growth decelerates or reimbursement issues constrain premium fabric-mask adoption;</w:t>
      </w:r>
    </w:p>
    <w:p>
      <w:pPr>
        <w:pStyle w:val="Compact"/>
        <w:numPr>
          <w:ilvl w:val="0"/>
          <w:numId w:val="1011"/>
        </w:numPr>
      </w:pPr>
      <w:r>
        <w:t xml:space="preserve">Component, freight, or currency pressures lead to a more cautious FY2027 margin outlook;</w:t>
      </w:r>
    </w:p>
    <w:p>
      <w:pPr>
        <w:pStyle w:val="Compact"/>
        <w:numPr>
          <w:ilvl w:val="0"/>
          <w:numId w:val="1011"/>
        </w:numPr>
      </w:pPr>
      <w:r>
        <w:t xml:space="preserve">MatrixCare divestiture creates a larger-than-expected reported-growth or stranded-cost headwind;</w:t>
      </w:r>
    </w:p>
    <w:p>
      <w:pPr>
        <w:pStyle w:val="Compact"/>
        <w:numPr>
          <w:ilvl w:val="0"/>
          <w:numId w:val="1011"/>
        </w:numPr>
      </w:pPr>
      <w:r>
        <w:t xml:space="preserve">Noctrix investment is more dilutive or requires more commercial spending than investors expect.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questions-investors-should-want-answered"/>
    <w:p>
      <w:pPr>
        <w:pStyle w:val="Heading2"/>
      </w:pPr>
      <w:r>
        <w:t xml:space="preserve">Questions investors should want answered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did U.S. device growth trend in Q4 relative to Q3’s 6% growth?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Are mask and accessory sales still growing at a double-digit rate, excluding the VirtuOx contribution?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evidence is ResMed seeing that GLP-1 awareness is increasing sleep testing, PAP prescriptions, setups, and resupply?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is the FY2027 gross-margin outlook after FY2026’s major expansion?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are the organic growth and operating-profit outlooks for the post-MatrixCare Residential Care Software portfolio?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much capital will be devoted to the ASR, and when will it be executed?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is the expected FY2027 EPS bridge for MatrixCare’s sale, Noctrix dilution, incremental buybacks, and any stranded costs?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does management expect from Noctrix in reimbursement coverage, commercial investment, and revenue growth over the next 12–24 months?</w:t>
      </w:r>
    </w:p>
    <w:p>
      <w:r>
        <w:pict>
          <v:rect style="width:0;height:1.5pt" o:hralign="center" o:hrstd="t" o:hr="t"/>
        </w:pict>
      </w:r>
    </w:p>
    <w:bookmarkEnd w:id="24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ResMed’s Q4 report should confirm another year of strong execution: high-single-digit underlying growth, mask-led mix improvement, substantial gross-margin expansion, robust cash generation, and enhanced buybacks. The stock’s near-term direction, however, is likely to be driven by whether FY2027 guidance preserves that narrative</w:t>
      </w:r>
      <w:r>
        <w:t xml:space="preserve"> </w:t>
      </w:r>
      <w:r>
        <w:rPr>
          <w:b/>
          <w:bCs/>
        </w:rPr>
        <w:t xml:space="preserve">after normalizing for MatrixCare’s divestiture and Noctrix’s investment phase</w:t>
      </w:r>
      <w:r>
        <w:t xml:space="preserve">.</w:t>
      </w:r>
    </w:p>
    <w:p>
      <w:pPr>
        <w:pStyle w:val="BodyText"/>
      </w:pPr>
      <w:r>
        <w:t xml:space="preserve">The cleanest positive outcome would be: stable core growth, continued margin accretion, credible post-MatrixCare RCS growth, and an ASR large enough to demonstrate that portfolio simplification will be economically beneficial to shareholders.</w:t>
      </w:r>
    </w:p>
    <w:p>
      <w:r>
        <w:pict>
          <v:rect style="width:0;height:1.5pt" o:hralign="center" o:hrstd="t" o:hr="t"/>
        </w:pict>
      </w:r>
    </w:p>
    <w:bookmarkStart w:id="25" w:name="primary-sources-reviewed"/>
    <w:p>
      <w:pPr>
        <w:pStyle w:val="Heading3"/>
      </w:pPr>
      <w:r>
        <w:t xml:space="preserve">Primary sources reviewed</w:t>
      </w:r>
    </w:p>
    <w:p>
      <w:pPr>
        <w:pStyle w:val="Compact"/>
        <w:numPr>
          <w:ilvl w:val="0"/>
          <w:numId w:val="1013"/>
        </w:numPr>
      </w:pPr>
      <w:r>
        <w:t xml:space="preserve">ResMed FY2026 Q3 earnings release and earnings-call transcript, April 30, 2026</w:t>
      </w:r>
    </w:p>
    <w:p>
      <w:pPr>
        <w:pStyle w:val="Compact"/>
        <w:numPr>
          <w:ilvl w:val="0"/>
          <w:numId w:val="1013"/>
        </w:numPr>
      </w:pPr>
      <w:r>
        <w:t xml:space="preserve">ResMed FY2026 Q3 Form 10-Q</w:t>
      </w:r>
    </w:p>
    <w:p>
      <w:pPr>
        <w:pStyle w:val="Compact"/>
        <w:numPr>
          <w:ilvl w:val="0"/>
          <w:numId w:val="1013"/>
        </w:numPr>
      </w:pPr>
      <w:r>
        <w:t xml:space="preserve">ResMed July 7, 2026 Form 8-K regarding the MatrixCare divestiture</w:t>
      </w:r>
    </w:p>
    <w:p>
      <w:pPr>
        <w:pStyle w:val="Compact"/>
        <w:numPr>
          <w:ilvl w:val="0"/>
          <w:numId w:val="1013"/>
        </w:numPr>
      </w:pPr>
      <w:r>
        <w:t xml:space="preserve">ResMed FY2025 Q4 earnings release</w:t>
      </w:r>
    </w:p>
    <w:p>
      <w:pPr>
        <w:pStyle w:val="Compact"/>
        <w:numPr>
          <w:ilvl w:val="0"/>
          <w:numId w:val="1013"/>
        </w:numPr>
      </w:pPr>
      <w:r>
        <w:t xml:space="preserve">RMD historical share-price data through August 5, 2026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2026-08-06T00:58:41Z</dcterms:created>
  <dcterms:modified xsi:type="dcterms:W3CDTF">2026-08-06T00:58:41Z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