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ROK before writing the preview. Let me start by gathering recent filings, transcripts, and news.Let me read the Q2 FY2026 earnings materials and check recent news and price action.Let me pull the stock price trend and search for any recent news/analyst commentary heading into the print.Let me get consensus expectations and any recent peer/sector read-throughs via web search.I have what I need. Let me write the earnings preview.</w:t>
      </w:r>
    </w:p>
    <w:bookmarkStart w:id="18" w:name="X609592549f7507be0cb5b8a349df23fd1bd0e3c"/>
    <w:p>
      <w:pPr>
        <w:pStyle w:val="Heading1"/>
      </w:pPr>
      <w:r>
        <w:t xml:space="preserve">Rockwell Automation (ROK) — Fiscal Q3 2026 Earnings Preview</w:t>
      </w:r>
    </w:p>
    <w:bookmarkStart w:id="9" w:name="X862be04e8ec52b5e89d1aa479d89c61b807869c"/>
    <w:p>
      <w:pPr>
        <w:pStyle w:val="Heading3"/>
      </w:pPr>
      <w:r>
        <w:t xml:space="preserve">Reports Tuesday, August 4, 2026 (before market open) · 2026Q3 Earnings Call</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Rockwell heads into its fiscal Q3 print with strong momentum and a rising stock, but a demanding bar: the shares sit near all-time highs after a blowout Q2, so this quarter is less about "will they beat" (they've beaten four straight) and more about</w:t>
      </w:r>
      <w:r>
        <w:t xml:space="preserve"> </w:t>
      </w:r>
      <w:r>
        <w:rPr>
          <w:b/>
          <w:bCs/>
        </w:rPr>
        <w:t xml:space="preserve">whether demand keeps broadening, whether management raises the full-year guide again, and how second-half margins hold up against a step-up in memory and tariff costs.</w:t>
      </w:r>
    </w:p>
    <w:p>
      <w:r>
        <w:pict>
          <v:rect style="width:0;height:1.5pt" o:hralign="center" o:hrstd="t" o:hr="t"/>
        </w:pict>
      </w:r>
    </w:p>
    <w:bookmarkEnd w:id="10"/>
    <w:bookmarkStart w:id="11" w:name="Xffd23996215814f29da962fce5b263e603478de"/>
    <w:p>
      <w:pPr>
        <w:pStyle w:val="Heading2"/>
      </w:pPr>
      <w:r>
        <w:t xml:space="preserve">Consensus &amp; What Management Told Us to Expect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Q3'26 Consensus</w:t>
            </w:r>
          </w:p>
        </w:tc>
        <w:tc>
          <w:tcPr/>
          <w:p>
            <w:pPr>
              <w:pStyle w:val="Compact"/>
            </w:pPr>
            <w:r>
              <w:t xml:space="preserve">Year-Ago (Q3'25)</w:t>
            </w:r>
          </w:p>
        </w:tc>
        <w:tc>
          <w:tcPr/>
          <w:p>
            <w:pPr>
              <w:pStyle w:val="Compact"/>
            </w:pPr>
            <w:r>
              <w:t xml:space="preserve">Implied Growth</w:t>
            </w:r>
          </w:p>
        </w:tc>
      </w:tr>
      <w:tr>
        <w:tc>
          <w:tcPr/>
          <w:p>
            <w:pPr>
              <w:pStyle w:val="Compact"/>
            </w:pPr>
            <w:r>
              <w:t xml:space="preserve">Adjusted EPS</w:t>
            </w:r>
          </w:p>
        </w:tc>
        <w:tc>
          <w:tcPr/>
          <w:p>
            <w:pPr>
              <w:pStyle w:val="Compact"/>
            </w:pPr>
            <w:r>
              <w:t xml:space="preserve">~</w:t>
            </w:r>
            <m:oMath>
              <m:r>
                <m:t>3.37</m:t>
              </m:r>
              <m:r>
                <m:rPr>
                  <m:sty m:val="p"/>
                </m:rPr>
                <m:t>–</m:t>
              </m:r>
            </m:oMath>
            <w:r>
              <w:t xml:space="preserve">3.39</w:t>
            </w:r>
          </w:p>
        </w:tc>
        <w:tc>
          <w:tcPr/>
          <w:p>
            <w:pPr>
              <w:pStyle w:val="Compact"/>
            </w:pPr>
            <w:r>
              <w:t xml:space="preserve">$2.82</w:t>
            </w:r>
          </w:p>
        </w:tc>
        <w:tc>
          <w:tcPr/>
          <w:p>
            <w:pPr>
              <w:pStyle w:val="Compact"/>
            </w:pPr>
            <w:r>
              <w:t xml:space="preserve">~+20%</w:t>
            </w:r>
          </w:p>
        </w:tc>
      </w:tr>
      <w:tr>
        <w:tc>
          <w:tcPr/>
          <w:p>
            <w:pPr>
              <w:pStyle w:val="Compact"/>
            </w:pPr>
            <w:r>
              <w:t xml:space="preserve">Revenue</w:t>
            </w:r>
          </w:p>
        </w:tc>
        <w:tc>
          <w:tcPr/>
          <w:p>
            <w:pPr>
              <w:pStyle w:val="Compact"/>
            </w:pPr>
            <w:r>
              <w:t xml:space="preserve">~</w:t>
            </w:r>
            <m:oMath>
              <m:r>
                <m:t>2.24</m:t>
              </m:r>
              <m:r>
                <m:rPr>
                  <m:sty m:val="p"/>
                </m:rPr>
                <m:t>–</m:t>
              </m:r>
            </m:oMath>
            <w:r>
              <w:t xml:space="preserve">2.26B</w:t>
            </w:r>
          </w:p>
        </w:tc>
        <w:tc>
          <w:tcPr/>
          <w:p>
            <w:pPr>
              <w:pStyle w:val="Compact"/>
            </w:pPr>
            <w:r>
              <w:t xml:space="preserve">~$2.05B</w:t>
            </w:r>
          </w:p>
        </w:tc>
        <w:tc>
          <w:tcPr/>
          <w:p>
            <w:pPr>
              <w:pStyle w:val="Compact"/>
            </w:pPr>
            <w:r>
              <w:t xml:space="preserve">~+9–10%</w:t>
            </w:r>
          </w:p>
        </w:tc>
      </w:tr>
    </w:tbl>
    <w:p>
      <w:pPr>
        <w:pStyle w:val="BodyText"/>
      </w:pPr>
      <w:r>
        <w:t xml:space="preserve">Management's own Q2 guidance framed Q3 fairly precisely, which narrows the surprise window:</w:t>
      </w:r>
    </w:p>
    <w:p>
      <w:pPr>
        <w:pStyle w:val="Compact"/>
        <w:numPr>
          <w:ilvl w:val="0"/>
          <w:numId w:val="1001"/>
        </w:numPr>
      </w:pPr>
      <w:r>
        <w:rPr>
          <w:b/>
          <w:bCs/>
        </w:rPr>
        <w:t xml:space="preserve">Adjusted EPS up ~$0.05 sequentially</w:t>
      </w:r>
      <w:r>
        <w:t xml:space="preserve"> </w:t>
      </w:r>
      <w:r>
        <w:t xml:space="preserve">from Q2's</w:t>
      </w:r>
      <w:r>
        <w:t xml:space="preserve"> </w:t>
      </w:r>
      <m:oMath>
        <m:r>
          <m:t>3.30</m:t>
        </m:r>
        <m:r>
          <m:rPr>
            <m:sty m:val="p"/>
          </m:rPr>
          <m:t>(</m:t>
        </m:r>
        <m:r>
          <m:rPr>
            <m:sty m:val="p"/>
          </m:rPr>
          <m:t>≈</m:t>
        </m:r>
      </m:oMath>
      <w:r>
        <w:t xml:space="preserve">3.35), or</w:t>
      </w:r>
      <w:r>
        <w:t xml:space="preserve"> </w:t>
      </w:r>
      <w:r>
        <w:rPr>
          <w:b/>
          <w:bCs/>
        </w:rPr>
        <w:t xml:space="preserve">up mid-to-high teens year-over-year</w:t>
      </w:r>
      <w:r>
        <w:t xml:space="preserve">.</w:t>
      </w:r>
    </w:p>
    <w:p>
      <w:pPr>
        <w:pStyle w:val="Compact"/>
        <w:numPr>
          <w:ilvl w:val="0"/>
          <w:numId w:val="1001"/>
        </w:numPr>
      </w:pPr>
      <w:r>
        <w:rPr>
          <w:b/>
          <w:bCs/>
        </w:rPr>
        <w:t xml:space="preserve">Reported sales roughly flat sequentially</w:t>
      </w:r>
      <w:r>
        <w:t xml:space="preserve">, with</w:t>
      </w:r>
      <w:r>
        <w:t xml:space="preserve"> </w:t>
      </w:r>
      <w:r>
        <w:rPr>
          <w:b/>
          <w:bCs/>
        </w:rPr>
        <w:t xml:space="preserve">flat enterprise operating margin</w:t>
      </w:r>
      <w:r>
        <w:t xml:space="preserve">.</w:t>
      </w:r>
    </w:p>
    <w:p>
      <w:pPr>
        <w:pStyle w:val="Compact"/>
        <w:numPr>
          <w:ilvl w:val="0"/>
          <w:numId w:val="1001"/>
        </w:numPr>
      </w:pPr>
      <w:r>
        <w:t xml:space="preserve">A</w:t>
      </w:r>
      <w:r>
        <w:t xml:space="preserve"> </w:t>
      </w:r>
      <w:r>
        <w:rPr>
          <w:b/>
          <w:bCs/>
        </w:rPr>
        <w:t xml:space="preserve">~$50M sequential sales headwind from the Sensia JV dissolution</w:t>
      </w:r>
      <w:r>
        <w:t xml:space="preserve"> </w:t>
      </w:r>
      <w:r>
        <w:t xml:space="preserve">(completed April 1), offset by growth concentrated in</w:t>
      </w:r>
      <w:r>
        <w:t xml:space="preserve"> </w:t>
      </w:r>
      <w:r>
        <w:rPr>
          <w:b/>
          <w:bCs/>
        </w:rPr>
        <w:t xml:space="preserve">Intelligent Devices</w:t>
      </w:r>
      <w:r>
        <w:t xml:space="preserve">.</w:t>
      </w:r>
    </w:p>
    <w:p>
      <w:pPr>
        <w:pStyle w:val="Compact"/>
        <w:numPr>
          <w:ilvl w:val="0"/>
          <w:numId w:val="1001"/>
        </w:numPr>
      </w:pPr>
      <w:r>
        <w:t xml:space="preserve">By segment: Intelligent Devices margin up slightly,</w:t>
      </w:r>
      <w:r>
        <w:t xml:space="preserve"> </w:t>
      </w:r>
      <w:r>
        <w:rPr>
          <w:b/>
          <w:bCs/>
        </w:rPr>
        <w:t xml:space="preserve">Software &amp; Control margin down</w:t>
      </w:r>
      <w:r>
        <w:t xml:space="preserve"> </w:t>
      </w:r>
      <w:r>
        <w:t xml:space="preserve">sequentially (off Q2's exceptional 34.9%), Lifecycle up slightly post-Sensia.</w:t>
      </w:r>
    </w:p>
    <w:p>
      <w:pPr>
        <w:pStyle w:val="FirstParagraph"/>
      </w:pPr>
      <w:r>
        <w:t xml:space="preserve">The consensus ~</w:t>
      </w:r>
      <m:oMath>
        <m:r>
          <m:t>3.38</m:t>
        </m:r>
        <m:r>
          <m:t>s</m:t>
        </m:r>
        <m:r>
          <m:t>i</m:t>
        </m:r>
        <m:r>
          <m:t>t</m:t>
        </m:r>
        <m:r>
          <m:t>s</m:t>
        </m:r>
        <m:r>
          <m:t>m</m:t>
        </m:r>
        <m:r>
          <m:t>o</m:t>
        </m:r>
        <m:r>
          <m:t>d</m:t>
        </m:r>
        <m:r>
          <m:t>e</m:t>
        </m:r>
        <m:r>
          <m:t>s</m:t>
        </m:r>
        <m:r>
          <m:t>t</m:t>
        </m:r>
        <m:r>
          <m:t>l</m:t>
        </m:r>
        <m:r>
          <m:t>y</m:t>
        </m:r>
        <m:r>
          <m:t>a</m:t>
        </m:r>
        <m:r>
          <m:t>b</m:t>
        </m:r>
        <m:r>
          <m:t>o</m:t>
        </m:r>
        <m:r>
          <m:t>v</m:t>
        </m:r>
        <m:r>
          <m:t>e</m:t>
        </m:r>
        <m:r>
          <m:t>m</m:t>
        </m:r>
        <m:r>
          <m:t>a</m:t>
        </m:r>
        <m:r>
          <m:t>n</m:t>
        </m:r>
        <m:r>
          <m:t>a</m:t>
        </m:r>
        <m:r>
          <m:t>g</m:t>
        </m:r>
        <m:r>
          <m:t>e</m:t>
        </m:r>
        <m:r>
          <m:t>m</m:t>
        </m:r>
        <m:r>
          <m:t>e</m:t>
        </m:r>
        <m:r>
          <m:t>n</m:t>
        </m:r>
        <m:sSup>
          <m:e>
            <m:r>
              <m:t>t</m:t>
            </m:r>
          </m:e>
          <m:sup>
            <m:r>
              <m:rPr>
                <m:sty m:val="p"/>
              </m:rPr>
              <m:t>′</m:t>
            </m:r>
          </m:sup>
        </m:sSup>
        <m:r>
          <m:t>s</m:t>
        </m:r>
        <m:r>
          <m:t>i</m:t>
        </m:r>
        <m:r>
          <m:t>m</m:t>
        </m:r>
        <m:r>
          <m:t>p</m:t>
        </m:r>
        <m:r>
          <m:t>l</m:t>
        </m:r>
        <m:r>
          <m:t>i</m:t>
        </m:r>
        <m:r>
          <m:t>e</m:t>
        </m:r>
        <m:r>
          <m:t>d</m:t>
        </m:r>
        <m:r>
          <m:t> </m:t>
        </m:r>
      </m:oMath>
      <w:r>
        <w:t xml:space="preserve">3.35 — so a simple "in-line with the guide" quarter could read as a slight miss versus the Street unless orders/mix surprise to the upside.</w:t>
      </w:r>
    </w:p>
    <w:p>
      <w:r>
        <w:pict>
          <v:rect style="width:0;height:1.5pt" o:hralign="center" o:hrstd="t" o:hr="t"/>
        </w:pict>
      </w:r>
    </w:p>
    <w:bookmarkEnd w:id="11"/>
    <w:bookmarkStart w:id="12" w:name="Xe6998c305ed206edb56232586c193c41eb633a4"/>
    <w:p>
      <w:pPr>
        <w:pStyle w:val="Heading2"/>
      </w:pPr>
      <w:r>
        <w:t xml:space="preserve">The Full-Year Guide — The Real Battleground</w:t>
      </w:r>
    </w:p>
    <w:p>
      <w:pPr>
        <w:pStyle w:val="FirstParagraph"/>
      </w:pPr>
      <w:r>
        <w:t xml:space="preserve">At Q2, Rockwell raised FY2026 guidance across the board. The debate on this call is whether they raise</w:t>
      </w:r>
      <w:r>
        <w:t xml:space="preserve"> </w:t>
      </w:r>
      <w:r>
        <w:rPr>
          <w:b/>
          <w:bCs/>
        </w:rPr>
        <w:t xml:space="preserve">again</w:t>
      </w:r>
      <w:r>
        <w:t xml:space="preserve">:</w:t>
      </w:r>
    </w:p>
    <w:p>
      <w:pPr>
        <w:pStyle w:val="Compact"/>
        <w:numPr>
          <w:ilvl w:val="0"/>
          <w:numId w:val="1002"/>
        </w:numPr>
      </w:pPr>
      <w:r>
        <w:rPr>
          <w:b/>
          <w:bCs/>
        </w:rPr>
        <w:t xml:space="preserve">Organic &amp; reported sales growth: 5%–9% (7% midpoint)</w:t>
      </w:r>
      <w:r>
        <w:t xml:space="preserve">, ~$8.9B revenue (a</w:t>
      </w:r>
      <w:r>
        <w:t xml:space="preserve"> </w:t>
      </w:r>
      <m:oMath>
        <m:r>
          <m:t>200</m:t>
        </m:r>
        <m:r>
          <m:t>M</m:t>
        </m:r>
        <m:r>
          <m:t>o</m:t>
        </m:r>
        <m:r>
          <m:t>r</m:t>
        </m:r>
        <m:r>
          <m:t>g</m:t>
        </m:r>
        <m:r>
          <m:t>a</m:t>
        </m:r>
        <m:r>
          <m:t>n</m:t>
        </m:r>
        <m:r>
          <m:t>i</m:t>
        </m:r>
        <m:r>
          <m:t>c</m:t>
        </m:r>
        <m:r>
          <m:t>r</m:t>
        </m:r>
        <m:r>
          <m:t>a</m:t>
        </m:r>
        <m:r>
          <m:t>i</m:t>
        </m:r>
        <m:r>
          <m:t>s</m:t>
        </m:r>
        <m:r>
          <m:t>e</m:t>
        </m:r>
        <m:r>
          <m:t>p</m:t>
        </m:r>
        <m:r>
          <m:t>a</m:t>
        </m:r>
        <m:r>
          <m:t>r</m:t>
        </m:r>
        <m:r>
          <m:t>t</m:t>
        </m:r>
        <m:r>
          <m:t>l</m:t>
        </m:r>
        <m:r>
          <m:t>y</m:t>
        </m:r>
        <m:r>
          <m:t>o</m:t>
        </m:r>
        <m:r>
          <m:t>f</m:t>
        </m:r>
        <m:r>
          <m:t>f</m:t>
        </m:r>
        <m:r>
          <m:t>s</m:t>
        </m:r>
        <m:r>
          <m:t>e</m:t>
        </m:r>
        <m:r>
          <m:t>t</m:t>
        </m:r>
        <m:r>
          <m:t>b</m:t>
        </m:r>
        <m:r>
          <m:t>y</m:t>
        </m:r>
        <m:r>
          <m:t> </m:t>
        </m:r>
      </m:oMath>
      <w:r>
        <w:t xml:space="preserve">100M of Sensia dilution).</w:t>
      </w:r>
    </w:p>
    <w:p>
      <w:pPr>
        <w:pStyle w:val="Compact"/>
        <w:numPr>
          <w:ilvl w:val="0"/>
          <w:numId w:val="1002"/>
        </w:numPr>
      </w:pPr>
      <w:r>
        <w:rPr>
          <w:b/>
          <w:bCs/>
        </w:rPr>
        <w:t xml:space="preserve">Enterprise operating margin: 21.5%</w:t>
      </w:r>
      <w:r>
        <w:t xml:space="preserve"> </w:t>
      </w:r>
      <w:r>
        <w:t xml:space="preserve">(up from ~20% prior).</w:t>
      </w:r>
    </w:p>
    <w:p>
      <w:pPr>
        <w:pStyle w:val="Compact"/>
        <w:numPr>
          <w:ilvl w:val="0"/>
          <w:numId w:val="1002"/>
        </w:numPr>
      </w:pPr>
      <w:r>
        <w:rPr>
          <w:b/>
          <w:bCs/>
        </w:rPr>
        <w:t xml:space="preserve">Adjusted EPS:</w:t>
      </w:r>
      <w:r>
        <w:rPr>
          <w:b/>
          <w:bCs/>
        </w:rPr>
        <w:t xml:space="preserve"> </w:t>
      </w:r>
      <m:oMath>
        <m:r>
          <m:t>12.50</m:t>
        </m:r>
        <m:r>
          <m:rPr>
            <m:sty m:val="p"/>
          </m:rPr>
          <m:t>–</m:t>
        </m:r>
      </m:oMath>
      <w:r>
        <w:rPr>
          <w:b/>
          <w:bCs/>
        </w:rPr>
        <w:t xml:space="preserve">13.10, midpoint $12.80</w:t>
      </w:r>
      <w:r>
        <w:t xml:space="preserve"> </w:t>
      </w:r>
      <w:r>
        <w:t xml:space="preserve">(raised $1.00 at Q2).</w:t>
      </w:r>
    </w:p>
    <w:p>
      <w:pPr>
        <w:pStyle w:val="Compact"/>
        <w:numPr>
          <w:ilvl w:val="0"/>
          <w:numId w:val="1002"/>
        </w:numPr>
      </w:pPr>
      <w:r>
        <w:rPr>
          <w:b/>
          <w:bCs/>
        </w:rPr>
        <w:t xml:space="preserve">Incremental margins now &gt;50%</w:t>
      </w:r>
      <w:r>
        <w:t xml:space="preserve"> </w:t>
      </w:r>
      <w:r>
        <w:t xml:space="preserve">for the year (vs. an original ~40% plan), though management insists the long-term through-cycle flow-through target stays ~35%.</w:t>
      </w:r>
    </w:p>
    <w:p>
      <w:pPr>
        <w:pStyle w:val="Compact"/>
        <w:numPr>
          <w:ilvl w:val="0"/>
          <w:numId w:val="1002"/>
        </w:numPr>
      </w:pPr>
      <w:r>
        <w:rPr>
          <w:b/>
          <w:bCs/>
        </w:rPr>
        <w:t xml:space="preserve">FCF conversion ~100%</w:t>
      </w:r>
      <w:r>
        <w:t xml:space="preserve">;</w:t>
      </w:r>
      <w:r>
        <w:t xml:space="preserve"> </w:t>
      </w:r>
      <w:r>
        <w:rPr>
          <w:b/>
          <w:bCs/>
        </w:rPr>
        <w:t xml:space="preserve">~$850M of buybacks</w:t>
      </w:r>
      <w:r>
        <w:t xml:space="preserve">; ~112.1M diluted shares.</w:t>
      </w:r>
    </w:p>
    <w:p>
      <w:pPr>
        <w:pStyle w:val="FirstParagraph"/>
      </w:pPr>
      <w:r>
        <w:rPr>
          <w:b/>
          <w:bCs/>
        </w:rPr>
        <w:t xml:space="preserve">Why it matters:</w:t>
      </w:r>
      <w:r>
        <w:t xml:space="preserve"> </w:t>
      </w:r>
      <w:r>
        <w:t xml:space="preserve">After a Q2 that beat on sales, margins and EPS, and with the stock up sharply, investors will want either another EPS raise or a very confident reaffirmation. Note management explicitly guided to</w:t>
      </w:r>
      <w:r>
        <w:t xml:space="preserve"> </w:t>
      </w:r>
      <w:r>
        <w:rPr>
          <w:b/>
          <w:bCs/>
        </w:rPr>
        <w:t xml:space="preserve">sequentially lower margins in the second half</w:t>
      </w:r>
      <w:r>
        <w:t xml:space="preserve"> </w:t>
      </w:r>
      <w:r>
        <w:t xml:space="preserve">(Q2's 22.5% enterprise margin vs. ~22% implied for H2), so a flat-to-down margin print is</w:t>
      </w:r>
      <w:r>
        <w:t xml:space="preserve"> </w:t>
      </w:r>
      <w:r>
        <w:rPr>
          <w:i/>
          <w:iCs/>
        </w:rPr>
        <w:t xml:space="preserve">expected</w:t>
      </w:r>
      <w:r>
        <w:t xml:space="preserve"> </w:t>
      </w:r>
      <w:r>
        <w:t xml:space="preserve">and shouldn't be read as deterioration.</w:t>
      </w:r>
    </w:p>
    <w:p>
      <w:r>
        <w:pict>
          <v:rect style="width:0;height:1.5pt" o:hralign="center" o:hrstd="t" o:hr="t"/>
        </w:pict>
      </w:r>
    </w:p>
    <w:bookmarkEnd w:id="12"/>
    <w:bookmarkStart w:id="13" w:name="demand-the-key-narrative-to-track"/>
    <w:p>
      <w:pPr>
        <w:pStyle w:val="Heading2"/>
      </w:pPr>
      <w:r>
        <w:t xml:space="preserve">Demand: The Key Narrative to Track</w:t>
      </w:r>
    </w:p>
    <w:p>
      <w:pPr>
        <w:pStyle w:val="FirstParagraph"/>
      </w:pPr>
      <w:r>
        <w:t xml:space="preserve">Q2's story was</w:t>
      </w:r>
      <w:r>
        <w:t xml:space="preserve"> </w:t>
      </w:r>
      <w:r>
        <w:rPr>
          <w:b/>
          <w:bCs/>
        </w:rPr>
        <w:t xml:space="preserve">broadening demand</w:t>
      </w:r>
      <w:r>
        <w:t xml:space="preserve"> </w:t>
      </w:r>
      <w:r>
        <w:t xml:space="preserve">beyond North America short-cycle strength. Watch whether it extends:</w:t>
      </w:r>
    </w:p>
    <w:p>
      <w:pPr>
        <w:pStyle w:val="BodyText"/>
      </w:pPr>
      <w:r>
        <w:rPr>
          <w:b/>
          <w:bCs/>
        </w:rPr>
        <w:t xml:space="preserve">Running hot (look for continuation):</w:t>
      </w:r>
    </w:p>
    <w:p>
      <w:pPr>
        <w:pStyle w:val="Compact"/>
        <w:numPr>
          <w:ilvl w:val="0"/>
          <w:numId w:val="1003"/>
        </w:numPr>
      </w:pPr>
      <w:r>
        <w:rPr>
          <w:b/>
          <w:bCs/>
        </w:rPr>
        <w:t xml:space="preserve">Data center</w:t>
      </w:r>
      <w:r>
        <w:t xml:space="preserve"> </w:t>
      </w:r>
      <w:r>
        <w:t xml:space="preserve">— sales</w:t>
      </w:r>
      <w:r>
        <w:t xml:space="preserve"> </w:t>
      </w:r>
      <w:r>
        <w:rPr>
          <w:i/>
          <w:iCs/>
        </w:rPr>
        <w:t xml:space="preserve">more than doubled</w:t>
      </w:r>
      <w:r>
        <w:t xml:space="preserve"> </w:t>
      </w:r>
      <w:r>
        <w:t xml:space="preserve">YoY; a strategic growth vector via Cubic power distribution, Logix conversions from commercial controls, and HVAC/chiller drives. Investors will want</w:t>
      </w:r>
      <w:r>
        <w:t xml:space="preserve"> </w:t>
      </w:r>
      <w:r>
        <w:rPr>
          <w:b/>
          <w:bCs/>
        </w:rPr>
        <w:t xml:space="preserve">sizing/disclosure</w:t>
      </w:r>
      <w:r>
        <w:t xml:space="preserve"> </w:t>
      </w:r>
      <w:r>
        <w:t xml:space="preserve">— management said it would revisit dimensioning at year-end.</w:t>
      </w:r>
    </w:p>
    <w:p>
      <w:pPr>
        <w:pStyle w:val="Compact"/>
        <w:numPr>
          <w:ilvl w:val="0"/>
          <w:numId w:val="1003"/>
        </w:numPr>
      </w:pPr>
      <w:r>
        <w:rPr>
          <w:b/>
          <w:bCs/>
        </w:rPr>
        <w:t xml:space="preserve">E-commerce &amp; warehouse automation</w:t>
      </w:r>
      <w:r>
        <w:t xml:space="preserve"> </w:t>
      </w:r>
      <w:r>
        <w:t xml:space="preserve">— up &gt;30% YoY, driven by retrofits/upgrades and production logistics (OTTO AMRs).</w:t>
      </w:r>
    </w:p>
    <w:p>
      <w:pPr>
        <w:pStyle w:val="Compact"/>
        <w:numPr>
          <w:ilvl w:val="0"/>
          <w:numId w:val="1003"/>
        </w:numPr>
      </w:pPr>
      <w:r>
        <w:rPr>
          <w:b/>
          <w:bCs/>
        </w:rPr>
        <w:t xml:space="preserve">Semiconductor</w:t>
      </w:r>
      <w:r>
        <w:t xml:space="preserve"> </w:t>
      </w:r>
      <w:r>
        <w:t xml:space="preserve">— up high-teens, helped by AI/data-center capex.</w:t>
      </w:r>
    </w:p>
    <w:p>
      <w:pPr>
        <w:pStyle w:val="Compact"/>
        <w:numPr>
          <w:ilvl w:val="0"/>
          <w:numId w:val="1003"/>
        </w:numPr>
      </w:pPr>
      <w:r>
        <w:rPr>
          <w:b/>
          <w:bCs/>
        </w:rPr>
        <w:t xml:space="preserve">Energy</w:t>
      </w:r>
      <w:r>
        <w:t xml:space="preserve"> </w:t>
      </w:r>
      <w:r>
        <w:t xml:space="preserve">— above expectations, aided by bringing the Sensia oil &amp; gas business back in-house; a potential tailwind given elevated oil prices.</w:t>
      </w:r>
    </w:p>
    <w:p>
      <w:pPr>
        <w:pStyle w:val="FirstParagraph"/>
      </w:pPr>
      <w:r>
        <w:rPr>
          <w:b/>
          <w:bCs/>
        </w:rPr>
        <w:t xml:space="preserve">Still constrained (the swing factor):</w:t>
      </w:r>
    </w:p>
    <w:p>
      <w:pPr>
        <w:pStyle w:val="Compact"/>
        <w:numPr>
          <w:ilvl w:val="0"/>
          <w:numId w:val="1004"/>
        </w:numPr>
      </w:pPr>
      <w:r>
        <w:rPr>
          <w:b/>
          <w:bCs/>
        </w:rPr>
        <w:t xml:space="preserve">Automotive and consumer packaged goods / food &amp; beverage</w:t>
      </w:r>
      <w:r>
        <w:t xml:space="preserve"> </w:t>
      </w:r>
      <w:r>
        <w:t xml:space="preserve">large capex remains locked up on tariff/USMCA and geopolitical uncertainty. Any sign of a "wholesale unlock" here would be a meaningful positive catalyst; management flagged</w:t>
      </w:r>
      <w:r>
        <w:t xml:space="preserve"> </w:t>
      </w:r>
      <w:r>
        <w:rPr>
          <w:b/>
          <w:bCs/>
        </w:rPr>
        <w:t xml:space="preserve">USMCA negotiations</w:t>
      </w:r>
      <w:r>
        <w:t xml:space="preserve"> </w:t>
      </w:r>
      <w:r>
        <w:t xml:space="preserve">as the key watch item for auto.</w:t>
      </w:r>
    </w:p>
    <w:p>
      <w:pPr>
        <w:pStyle w:val="FirstParagraph"/>
      </w:pPr>
      <w:r>
        <w:rPr>
          <w:b/>
          <w:bCs/>
        </w:rPr>
        <w:t xml:space="preserve">Orders/book-to-bill:</w:t>
      </w:r>
      <w:r>
        <w:t xml:space="preserve"> </w:t>
      </w:r>
      <w:r>
        <w:t xml:space="preserve">Company book-to-bill ran</w:t>
      </w:r>
      <w:r>
        <w:t xml:space="preserve"> </w:t>
      </w:r>
      <w:r>
        <w:rPr>
          <w:i/>
          <w:iCs/>
        </w:rPr>
        <w:t xml:space="preserve">slightly above</w:t>
      </w:r>
      <w:r>
        <w:t xml:space="preserve"> </w:t>
      </w:r>
      <w:r>
        <w:t xml:space="preserve">the normal 0.95–1.1 corridor in Q2, with</w:t>
      </w:r>
      <w:r>
        <w:t xml:space="preserve"> </w:t>
      </w:r>
      <w:r>
        <w:rPr>
          <w:b/>
          <w:bCs/>
        </w:rPr>
        <w:t xml:space="preserve">no evidence of tariff-driven pull-forward</w:t>
      </w:r>
      <w:r>
        <w:t xml:space="preserve"> </w:t>
      </w:r>
      <w:r>
        <w:t xml:space="preserve">(management surveys distributors and machine builders). Logix grew &gt;20%. Watch for continued order momentum — but remember Q4 typically runs a book-to-bill below 1 seasonally, so a sub-1.0 reading later isn't alarming.</w:t>
      </w:r>
    </w:p>
    <w:p>
      <w:r>
        <w:pict>
          <v:rect style="width:0;height:1.5pt" o:hralign="center" o:hrstd="t" o:hr="t"/>
        </w:pict>
      </w:r>
    </w:p>
    <w:bookmarkEnd w:id="13"/>
    <w:bookmarkStart w:id="14" w:name="margins--cost-watch--the-main-risk"/>
    <w:p>
      <w:pPr>
        <w:pStyle w:val="Heading2"/>
      </w:pPr>
      <w:r>
        <w:t xml:space="preserve">Margins &amp; Cost Watch — The Main Risk</w:t>
      </w:r>
    </w:p>
    <w:p>
      <w:pPr>
        <w:pStyle w:val="FirstParagraph"/>
      </w:pPr>
      <w:r>
        <w:t xml:space="preserve">The single biggest thing to scrutinize is the</w:t>
      </w:r>
      <w:r>
        <w:t xml:space="preserve"> </w:t>
      </w:r>
      <w:r>
        <w:rPr>
          <w:b/>
          <w:bCs/>
        </w:rPr>
        <w:t xml:space="preserve">second-half cost step-up</w:t>
      </w:r>
      <w:r>
        <w:t xml:space="preserve"> </w:t>
      </w:r>
      <w:r>
        <w:t xml:space="preserve">management pre-announced:</w:t>
      </w:r>
    </w:p>
    <w:p>
      <w:pPr>
        <w:pStyle w:val="Compact"/>
        <w:numPr>
          <w:ilvl w:val="0"/>
          <w:numId w:val="1005"/>
        </w:numPr>
      </w:pPr>
      <w:r>
        <w:rPr>
          <w:b/>
          <w:bCs/>
        </w:rPr>
        <w:t xml:space="preserve">Memory</w:t>
      </w:r>
      <w:r>
        <w:t xml:space="preserve"> </w:t>
      </w:r>
      <w:r>
        <w:t xml:space="preserve">costs are a</w:t>
      </w:r>
      <w:r>
        <w:t xml:space="preserve"> </w:t>
      </w:r>
      <w:r>
        <w:rPr>
          <w:b/>
          <w:bCs/>
        </w:rPr>
        <w:t xml:space="preserve">double-digit-million-dollar headwind in H2</w:t>
      </w:r>
      <w:r>
        <w:t xml:space="preserve"> </w:t>
      </w:r>
      <w:r>
        <w:t xml:space="preserve">and rising (consistent with the broader DRAM/AI-driven memory price surge). Rockwell is carrying extra safety stock to protect supply.</w:t>
      </w:r>
    </w:p>
    <w:p>
      <w:pPr>
        <w:pStyle w:val="Compact"/>
        <w:numPr>
          <w:ilvl w:val="0"/>
          <w:numId w:val="1005"/>
        </w:numPr>
      </w:pPr>
      <w:r>
        <w:t xml:space="preserve">Additional transportation, commodity and general supplier inflation.</w:t>
      </w:r>
    </w:p>
    <w:p>
      <w:pPr>
        <w:pStyle w:val="Compact"/>
        <w:numPr>
          <w:ilvl w:val="0"/>
          <w:numId w:val="1005"/>
        </w:numPr>
      </w:pPr>
      <w:r>
        <w:t xml:space="preserve">Higher engineering &amp; development and project spend (ramping new product intros ahead of Automation Fair).</w:t>
      </w:r>
    </w:p>
    <w:p>
      <w:pPr>
        <w:pStyle w:val="Compact"/>
        <w:numPr>
          <w:ilvl w:val="0"/>
          <w:numId w:val="1005"/>
        </w:numPr>
      </w:pPr>
      <w:r>
        <w:rPr>
          <w:b/>
          <w:bCs/>
        </w:rPr>
        <w:t xml:space="preserve">Pricing:</w:t>
      </w:r>
      <w:r>
        <w:t xml:space="preserve"> </w:t>
      </w:r>
      <w:r>
        <w:t xml:space="preserve">now expecting</w:t>
      </w:r>
      <w:r>
        <w:t xml:space="preserve"> </w:t>
      </w:r>
      <w:r>
        <w:rPr>
          <w:b/>
          <w:bCs/>
        </w:rPr>
        <w:t xml:space="preserve">250 bps of total price</w:t>
      </w:r>
      <w:r>
        <w:t xml:space="preserve"> </w:t>
      </w:r>
      <w:r>
        <w:t xml:space="preserve">for FY26 (150 bps underlying + 100 bps tariff-based), aiming for tariff earnings-neutrality. Watch commentary on</w:t>
      </w:r>
      <w:r>
        <w:t xml:space="preserve"> </w:t>
      </w:r>
      <w:r>
        <w:rPr>
          <w:b/>
          <w:bCs/>
        </w:rPr>
        <w:t xml:space="preserve">Section 232/301 tariffs</w:t>
      </w:r>
      <w:r>
        <w:t xml:space="preserve"> </w:t>
      </w:r>
      <w:r>
        <w:t xml:space="preserve">and any optionality from</w:t>
      </w:r>
      <w:r>
        <w:t xml:space="preserve"> </w:t>
      </w:r>
      <w:r>
        <w:rPr>
          <w:b/>
          <w:bCs/>
        </w:rPr>
        <w:t xml:space="preserve">IEEPA refunds</w:t>
      </w:r>
      <w:r>
        <w:t xml:space="preserve"> </w:t>
      </w:r>
      <w:r>
        <w:t xml:space="preserve">(excluded from guidance pending the Supreme Court decision).</w:t>
      </w:r>
    </w:p>
    <w:p>
      <w:pPr>
        <w:pStyle w:val="FirstParagraph"/>
      </w:pPr>
      <w:r>
        <w:t xml:space="preserve">Segment margins to watch: Intelligent Devices (~20% FY target),</w:t>
      </w:r>
      <w:r>
        <w:t xml:space="preserve"> </w:t>
      </w:r>
      <w:r>
        <w:rPr>
          <w:b/>
          <w:bCs/>
        </w:rPr>
        <w:t xml:space="preserve">Software &amp; Control</w:t>
      </w:r>
      <w:r>
        <w:t xml:space="preserve"> </w:t>
      </w:r>
      <w:r>
        <w:t xml:space="preserve">(guided low-30s FY, but printed 34.9% in Q2 — a step-down is expected and shouldn't spook), Lifecycle (flat-to-slightly-up, benefiting from Sensia exit).</w:t>
      </w:r>
    </w:p>
    <w:p>
      <w:r>
        <w:pict>
          <v:rect style="width:0;height:1.5pt" o:hralign="center" o:hrstd="t" o:hr="t"/>
        </w:pict>
      </w:r>
    </w:p>
    <w:bookmarkEnd w:id="14"/>
    <w:bookmarkStart w:id="15" w:name="stock-context--a-high-bar"/>
    <w:p>
      <w:pPr>
        <w:pStyle w:val="Heading2"/>
      </w:pPr>
      <w:r>
        <w:t xml:space="preserve">Stock Context — A High Bar</w:t>
      </w:r>
    </w:p>
    <w:p>
      <w:pPr>
        <w:pStyle w:val="Compact"/>
        <w:numPr>
          <w:ilvl w:val="0"/>
          <w:numId w:val="1006"/>
        </w:numPr>
      </w:pPr>
      <w:r>
        <w:t xml:space="preserve">ROK closed</w:t>
      </w:r>
      <w:r>
        <w:t xml:space="preserve"> </w:t>
      </w:r>
      <w:r>
        <w:rPr>
          <w:b/>
          <w:bCs/>
        </w:rPr>
        <w:t xml:space="preserve">~</w:t>
      </w:r>
      <m:oMath>
        <m:r>
          <m:t>481</m:t>
        </m:r>
        <m:r>
          <m:t>o</m:t>
        </m:r>
        <m:r>
          <m:t>n</m:t>
        </m:r>
        <m:r>
          <m:t>A</m:t>
        </m:r>
        <m:r>
          <m:t>u</m:t>
        </m:r>
        <m:r>
          <m:t>g</m:t>
        </m:r>
        <m:r>
          <m:t>3</m:t>
        </m:r>
        <m:r>
          <m:rPr>
            <m:sty m:val="p"/>
          </m:rPr>
          <m:t>*</m:t>
        </m:r>
        <m:r>
          <m:rPr>
            <m:sty m:val="p"/>
          </m:rPr>
          <m:t>*</m:t>
        </m:r>
        <m:r>
          <m:rPr>
            <m:sty m:val="p"/>
          </m:rPr>
          <m:t>,</m:t>
        </m:r>
        <m:r>
          <m:t>n</m:t>
        </m:r>
        <m:r>
          <m:t>e</m:t>
        </m:r>
        <m:r>
          <m:t>a</m:t>
        </m:r>
        <m:r>
          <m:t>r</m:t>
        </m:r>
        <m:r>
          <m:t>i</m:t>
        </m:r>
        <m:r>
          <m:t>t</m:t>
        </m:r>
        <m:r>
          <m:t>s</m:t>
        </m:r>
        <m:r>
          <m:rPr>
            <m:sty m:val="p"/>
          </m:rPr>
          <m:t>*</m:t>
        </m:r>
        <m:r>
          <m:rPr>
            <m:sty m:val="p"/>
          </m:rPr>
          <m:t>*</m:t>
        </m:r>
        <m:r>
          <m:t>52</m:t>
        </m:r>
        <m:r>
          <m:rPr>
            <m:sty m:val="p"/>
          </m:rPr>
          <m:t>−</m:t>
        </m:r>
        <m:r>
          <m:t>w</m:t>
        </m:r>
        <m:r>
          <m:t>e</m:t>
        </m:r>
        <m:r>
          <m:t>e</m:t>
        </m:r>
        <m:r>
          <m:t>k</m:t>
        </m:r>
        <m:r>
          <m:t>h</m:t>
        </m:r>
        <m:r>
          <m:t>i</m:t>
        </m:r>
        <m:r>
          <m:t>g</m:t>
        </m:r>
        <m:r>
          <m:t>h</m:t>
        </m:r>
        <m:r>
          <m:rPr>
            <m:sty m:val="p"/>
          </m:rPr>
          <m:t>(</m:t>
        </m:r>
        <m:r>
          <m:t> </m:t>
        </m:r>
      </m:oMath>
      <w:r>
        <w:rPr>
          <w:b/>
          <w:bCs/>
        </w:rPr>
        <w:t xml:space="preserve">495 on June 30)</w:t>
      </w:r>
      <w:r>
        <w:t xml:space="preserve"> </w:t>
      </w:r>
      <w:r>
        <w:t xml:space="preserve">and up</w:t>
      </w:r>
      <w:r>
        <w:t xml:space="preserve"> </w:t>
      </w:r>
      <w:r>
        <w:rPr>
          <w:b/>
          <w:bCs/>
        </w:rPr>
        <w:t xml:space="preserve">~21% YTD</w:t>
      </w:r>
      <w:r>
        <w:t xml:space="preserve"> </w:t>
      </w:r>
      <w:r>
        <w:t xml:space="preserve">(from ~$399 at year-start).</w:t>
      </w:r>
    </w:p>
    <w:p>
      <w:pPr>
        <w:pStyle w:val="Compact"/>
        <w:numPr>
          <w:ilvl w:val="0"/>
          <w:numId w:val="1006"/>
        </w:numPr>
      </w:pPr>
      <w:r>
        <w:t xml:space="preserve">The stock</w:t>
      </w:r>
      <w:r>
        <w:t xml:space="preserve"> </w:t>
      </w:r>
      <w:r>
        <w:rPr>
          <w:b/>
          <w:bCs/>
        </w:rPr>
        <w:t xml:space="preserve">gapped up ~15%</w:t>
      </w:r>
      <w:r>
        <w:t xml:space="preserve"> </w:t>
      </w:r>
      <w:r>
        <w:t xml:space="preserve">on the May 5 Q2 beat (from ~</w:t>
      </w:r>
      <m:oMath>
        <m:r>
          <m:t>400</m:t>
        </m:r>
        <m:r>
          <m:t>t</m:t>
        </m:r>
        <m:r>
          <m:t>o</m:t>
        </m:r>
        <m:r>
          <m:t> </m:t>
        </m:r>
      </m:oMath>
      <w:r>
        <w:t xml:space="preserve">459) and has held those gains.</w:t>
      </w:r>
    </w:p>
    <w:p>
      <w:pPr>
        <w:pStyle w:val="Compact"/>
        <w:numPr>
          <w:ilvl w:val="0"/>
          <w:numId w:val="1006"/>
        </w:numPr>
      </w:pPr>
      <w:r>
        <w:t xml:space="preserve">It has</w:t>
      </w:r>
      <w:r>
        <w:t xml:space="preserve"> </w:t>
      </w:r>
      <w:r>
        <w:rPr>
          <w:b/>
          <w:bCs/>
        </w:rPr>
        <w:t xml:space="preserve">outperformed peers</w:t>
      </w:r>
      <w:r>
        <w:t xml:space="preserve"> </w:t>
      </w:r>
      <w:r>
        <w:t xml:space="preserve">— Emerson (EMR) is up ~14% YTD and Parker Hannifin (PH) ~12% over the same span.</w:t>
      </w:r>
    </w:p>
    <w:p>
      <w:pPr>
        <w:pStyle w:val="FirstParagraph"/>
      </w:pPr>
      <w:r>
        <w:t xml:space="preserve">The implication: expectations are elevated and much of the good news on broadening demand and margin upside may be priced in. A guide raise and continued order breadth are likely needed to sustain the move; an "in-line" quarter with flagged H2 cost pressure could invite profit-taking.</w:t>
      </w:r>
    </w:p>
    <w:p>
      <w:r>
        <w:pict>
          <v:rect style="width:0;height:1.5pt" o:hralign="center" o:hrstd="t" o:hr="t"/>
        </w:pict>
      </w:r>
    </w:p>
    <w:bookmarkEnd w:id="15"/>
    <w:bookmarkStart w:id="16" w:name="macro-backdrop"/>
    <w:p>
      <w:pPr>
        <w:pStyle w:val="Heading2"/>
      </w:pPr>
      <w:r>
        <w:t xml:space="preserve">Macro Backdrop</w:t>
      </w:r>
    </w:p>
    <w:p>
      <w:pPr>
        <w:pStyle w:val="Compact"/>
        <w:numPr>
          <w:ilvl w:val="0"/>
          <w:numId w:val="1007"/>
        </w:numPr>
      </w:pPr>
      <w:r>
        <w:rPr>
          <w:b/>
          <w:bCs/>
        </w:rPr>
        <w:t xml:space="preserve">China PMI slipped into contraction (49.2 in July)</w:t>
      </w:r>
      <w:r>
        <w:t xml:space="preserve"> </w:t>
      </w:r>
      <w:r>
        <w:t xml:space="preserve">— a watch item for Asia/machine-builder demand, though China is a smaller piece for ROK.</w:t>
      </w:r>
    </w:p>
    <w:p>
      <w:pPr>
        <w:pStyle w:val="Compact"/>
        <w:numPr>
          <w:ilvl w:val="0"/>
          <w:numId w:val="1007"/>
        </w:numPr>
      </w:pPr>
      <w:r>
        <w:rPr>
          <w:b/>
          <w:bCs/>
        </w:rPr>
        <w:t xml:space="preserve">Elevated oil prices</w:t>
      </w:r>
      <w:r>
        <w:t xml:space="preserve"> </w:t>
      </w:r>
      <w:r>
        <w:t xml:space="preserve">(post-Iran conflict) are a net positive for the energy vertical.</w:t>
      </w:r>
    </w:p>
    <w:p>
      <w:pPr>
        <w:pStyle w:val="Compact"/>
        <w:numPr>
          <w:ilvl w:val="0"/>
          <w:numId w:val="1007"/>
        </w:numPr>
      </w:pPr>
      <w:r>
        <w:rPr>
          <w:b/>
          <w:bCs/>
        </w:rPr>
        <w:t xml:space="preserve">Rising memory/DRAM prices</w:t>
      </w:r>
      <w:r>
        <w:t xml:space="preserve"> </w:t>
      </w:r>
      <w:r>
        <w:t xml:space="preserve">are a clear cost headwind (see above).</w:t>
      </w:r>
    </w:p>
    <w:p>
      <w:pPr>
        <w:pStyle w:val="Compact"/>
        <w:numPr>
          <w:ilvl w:val="0"/>
          <w:numId w:val="1007"/>
        </w:numPr>
      </w:pPr>
      <w:r>
        <w:rPr>
          <w:b/>
          <w:bCs/>
        </w:rPr>
        <w:t xml:space="preserve">Tariffs/USMCA</w:t>
      </w:r>
      <w:r>
        <w:t xml:space="preserve"> </w:t>
      </w:r>
      <w:r>
        <w:t xml:space="preserve">remain the key uncertainty gating automotive and CPG capex.</w:t>
      </w:r>
    </w:p>
    <w:p>
      <w:r>
        <w:pict>
          <v:rect style="width:0;height:1.5pt" o:hralign="center" o:hrstd="t" o:hr="t"/>
        </w:pict>
      </w:r>
    </w:p>
    <w:bookmarkEnd w:id="16"/>
    <w:bookmarkStart w:id="17" w:name="bottom-line--what-to-listen-for"/>
    <w:p>
      <w:pPr>
        <w:pStyle w:val="Heading2"/>
      </w:pPr>
      <w:r>
        <w:t xml:space="preserve">Bottom Line — What to Listen For</w:t>
      </w:r>
    </w:p>
    <w:p>
      <w:pPr>
        <w:pStyle w:val="Compact"/>
        <w:numPr>
          <w:ilvl w:val="0"/>
          <w:numId w:val="1008"/>
        </w:numPr>
      </w:pPr>
      <w:r>
        <w:rPr>
          <w:b/>
          <w:bCs/>
        </w:rPr>
        <w:t xml:space="preserve">Another FY guide raise?</w:t>
      </w:r>
      <w:r>
        <w:t xml:space="preserve"> </w:t>
      </w:r>
      <w:r>
        <w:t xml:space="preserve">Midpoint is $12.80; the beat streak and Q2 strength raise the bar. Reaffirmation vs. raise will drive the reaction.</w:t>
      </w:r>
    </w:p>
    <w:p>
      <w:pPr>
        <w:pStyle w:val="Compact"/>
        <w:numPr>
          <w:ilvl w:val="0"/>
          <w:numId w:val="1008"/>
        </w:numPr>
      </w:pPr>
      <w:r>
        <w:rPr>
          <w:b/>
          <w:bCs/>
        </w:rPr>
        <w:t xml:space="preserve">Order breadth</w:t>
      </w:r>
      <w:r>
        <w:t xml:space="preserve"> </w:t>
      </w:r>
      <w:r>
        <w:t xml:space="preserve">— does data center / semi / energy strength persist, and is there any thaw in auto/CPG large projects?</w:t>
      </w:r>
    </w:p>
    <w:p>
      <w:pPr>
        <w:pStyle w:val="Compact"/>
        <w:numPr>
          <w:ilvl w:val="0"/>
          <w:numId w:val="1008"/>
        </w:numPr>
      </w:pPr>
      <w:r>
        <w:rPr>
          <w:b/>
          <w:bCs/>
        </w:rPr>
        <w:t xml:space="preserve">H2 margin defense</w:t>
      </w:r>
      <w:r>
        <w:t xml:space="preserve"> </w:t>
      </w:r>
      <w:r>
        <w:t xml:space="preserve">against memory + tariff + spending step-ups; confirmation that &gt;50% full-year incrementals hold.</w:t>
      </w:r>
    </w:p>
    <w:p>
      <w:pPr>
        <w:pStyle w:val="Compact"/>
        <w:numPr>
          <w:ilvl w:val="0"/>
          <w:numId w:val="1008"/>
        </w:numPr>
      </w:pPr>
      <w:r>
        <w:rPr>
          <w:b/>
          <w:bCs/>
        </w:rPr>
        <w:t xml:space="preserve">Data-center disclosure/sizing</w:t>
      </w:r>
      <w:r>
        <w:t xml:space="preserve"> </w:t>
      </w:r>
      <w:r>
        <w:t xml:space="preserve">and new-product commentary into Automation Fair.</w:t>
      </w:r>
    </w:p>
    <w:p>
      <w:pPr>
        <w:pStyle w:val="Compact"/>
        <w:numPr>
          <w:ilvl w:val="0"/>
          <w:numId w:val="1008"/>
        </w:numPr>
      </w:pPr>
      <w:r>
        <w:rPr>
          <w:b/>
          <w:bCs/>
        </w:rPr>
        <w:t xml:space="preserve">Tariff neutrality and IEEPA refund optionality</w:t>
      </w:r>
      <w:r>
        <w:t xml:space="preserve"> </w:t>
      </w:r>
      <w:r>
        <w:t xml:space="preserve">as potential upside not in guidance.</w:t>
      </w:r>
    </w:p>
    <w:p>
      <w:pPr>
        <w:pStyle w:val="FirstParagraph"/>
      </w:pPr>
      <w:r>
        <w:rPr>
          <w:i/>
          <w:iCs/>
        </w:rPr>
        <w:t xml:space="preserve">Note: Rockwell's fiscal Q3 ends June; results are reported on an adjusted (non-GAAP) basis, and as of Q2 the company now reports "enterprise operating margin" (inclusive of corporate costs) — a presentation change only, with no impact to EPS or cash flow.</w:t>
      </w:r>
    </w:p>
    <w:p>
      <w:pPr>
        <w:pStyle w:val="BodyText"/>
      </w:pPr>
      <w:r>
        <w:rPr>
          <w:i/>
          <w:iCs/>
        </w:rPr>
        <w:t xml:space="preserve">This preview is for informational purposes and is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2026-08-04T00:37:10Z</dcterms:created>
  <dcterms:modified xsi:type="dcterms:W3CDTF">2026-08-04T00:37:10Z</dcterms:modified>
</cp:coreProperties>
</file>

<file path=docProps/custom.xml><?xml version="1.0" encoding="utf-8"?>
<Properties xmlns="http://schemas.openxmlformats.org/officeDocument/2006/custom-properties" xmlns:vt="http://schemas.openxmlformats.org/officeDocument/2006/docPropsVTypes"/>
</file>