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 have enough information now to write a comprehensive earnings preview. Let me check for the last valuation multiple context quickly and then compose.Now I have sufficient information to write a comprehensive earnings preview.# Rockwell Automation (ROK) — Q3 FY2026 Earnings Preview</w:t>
      </w:r>
      <w:r>
        <w:t xml:space="preserve"> </w:t>
      </w:r>
      <w:r>
        <w:rPr>
          <w:b/>
          <w:bCs/>
        </w:rPr>
        <w:t xml:space="preserve">Report Date:</w:t>
      </w:r>
      <w:r>
        <w:t xml:space="preserve"> </w:t>
      </w:r>
      <w:r>
        <w:t xml:space="preserve">Tuesday, August 4, 2026, before market open | Call at 8:30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Rockwell shares have been on a strong run, trading around</w:t>
      </w:r>
      <w:r>
        <w:t xml:space="preserve"> </w:t>
      </w:r>
      <m:oMath>
        <m:r>
          <m:t>481</m:t>
        </m:r>
        <m:r>
          <m:rPr>
            <m:sty m:val="p"/>
          </m:rPr>
          <m:t>*</m:t>
        </m:r>
        <m:r>
          <m:rPr>
            <m:sty m:val="p"/>
          </m:rPr>
          <m:t>*</m:t>
        </m:r>
        <m:r>
          <m:t>a</m:t>
        </m:r>
        <m:r>
          <m:t>s</m:t>
        </m:r>
        <m:r>
          <m:t>o</m:t>
        </m:r>
        <m:r>
          <m:t>f</m:t>
        </m:r>
        <m:r>
          <m:t>A</m:t>
        </m:r>
        <m:r>
          <m:t>u</m:t>
        </m:r>
        <m:r>
          <m:t>g</m:t>
        </m:r>
        <m:r>
          <m:t>u</m:t>
        </m:r>
        <m:r>
          <m:t>s</m:t>
        </m:r>
        <m:r>
          <m:t>t</m:t>
        </m:r>
        <m:r>
          <m:t>3</m:t>
        </m:r>
        <m:r>
          <m:rPr>
            <m:sty m:val="p"/>
          </m:rPr>
          <m:t>,</m:t>
        </m:r>
        <m:r>
          <m:t>u</m:t>
        </m:r>
        <m:r>
          <m:t>p</m:t>
        </m:r>
        <m:r>
          <m:t>f</m:t>
        </m:r>
        <m:r>
          <m:t>r</m:t>
        </m:r>
        <m:r>
          <m:t>o</m:t>
        </m:r>
        <m:r>
          <m:t>m</m:t>
        </m:r>
        <m:r>
          <m:t>r</m:t>
        </m:r>
        <m:r>
          <m:t>o</m:t>
        </m:r>
        <m:r>
          <m:t>u</m:t>
        </m:r>
        <m:r>
          <m:t>g</m:t>
        </m:r>
        <m:r>
          <m:t>h</m:t>
        </m:r>
        <m:r>
          <m:t>l</m:t>
        </m:r>
        <m:r>
          <m:t>y</m:t>
        </m:r>
        <m:r>
          <m:rPr>
            <m:sty m:val="p"/>
          </m:rPr>
          <m:t>*</m:t>
        </m:r>
        <m:r>
          <m:rPr>
            <m:sty m:val="p"/>
          </m:rPr>
          <m:t>*</m:t>
        </m:r>
      </m:oMath>
      <w:r>
        <w:rPr>
          <w:b/>
          <w:bCs/>
        </w:rPr>
        <w:t xml:space="preserve">407</w:t>
      </w:r>
      <w:r>
        <w:t xml:space="preserve"> </w:t>
      </w:r>
      <w:r>
        <w:t xml:space="preserve">in early May — a move driven largely by the blowout Q2 print and a series of price-target hikes. Barclays raised its target from $400 to $480 with an "overweight" rating, Wells Fargo boosted its target from $360 to $440 with an "equal weight" rating, JPMorgan raised its target from $404 to $417 with a "neutral" rating, and Robert W. Baird lifted its target from $470 to $527 with an "outperform" rating. The stock now trades at a rich multiple — a P/E ratio of roughly 41.7x — reflecting high expectations heading into tomorrow's report.</w:t>
      </w:r>
    </w:p>
    <w:bookmarkEnd w:id="9"/>
    <w:bookmarkStart w:id="10" w:name="Xe035cfbb30adfc31fb956f4c8c918d8977022dc"/>
    <w:p>
      <w:pPr>
        <w:pStyle w:val="Heading2"/>
      </w:pPr>
      <w:r>
        <w:t xml:space="preserve">What Happened Last Quarter (Q2 FY26) — The Bar Was Raised</w:t>
      </w:r>
    </w:p>
    <w:p>
      <w:pPr>
        <w:pStyle w:val="FirstParagraph"/>
      </w:pPr>
      <w:r>
        <w:t xml:space="preserve">Rockwell's Q2 (reported May 5) was a blowout: reported sales were up 12% year over year with organic sales up 9%, diluted EPS of $3.10 and Adjusted EPS of $3.30, up 40% and 32% year over year respectively. Margins expanded sharply — Enterprise operating profit was $504 million, up 32% from $381 million a year ago, with Enterprise operating margin at 22.5% versus 19.0% a year ago, driven by higher sales volume, positive price/cost inclusive of productivity, and favorable mix, partially offset by higher compensation.</w:t>
      </w:r>
    </w:p>
    <w:p>
      <w:pPr>
        <w:pStyle w:val="BodyText"/>
      </w:pPr>
      <w:r>
        <w:t xml:space="preserve">Management responded by significantly raising full-year guidance: fiscal 2026 reported and organic sales growth ranges were updated to 5%-9%, diluted EPS guidance to</w:t>
      </w:r>
      <w:r>
        <w:t xml:space="preserve"> </w:t>
      </w:r>
      <m:oMath>
        <m:r>
          <m:t>11.88</m:t>
        </m:r>
        <m:r>
          <m:rPr>
            <m:sty m:val="p"/>
          </m:rPr>
          <m:t>−</m:t>
        </m:r>
      </m:oMath>
      <w:r>
        <w:t xml:space="preserve">12.48, and Adjusted EPS guidance to</w:t>
      </w:r>
      <w:r>
        <w:t xml:space="preserve"> </w:t>
      </w:r>
      <m:oMath>
        <m:r>
          <m:t>12.50</m:t>
        </m:r>
        <m:r>
          <m:rPr>
            <m:sty m:val="p"/>
          </m:rPr>
          <m:t>−</m:t>
        </m:r>
      </m:oMath>
      <w:r>
        <w:t xml:space="preserve">13.10 — a $1 increase at the midpoint from the prior guide. The stock jumped roughly 9% on the news.</w:t>
      </w:r>
    </w:p>
    <w:p>
      <w:pPr>
        <w:pStyle w:val="BodyText"/>
      </w:pPr>
      <w:r>
        <w:t xml:space="preserve">Demand breadth improved notably. CEO Blake Moret noted "solid momentum across much of the business, led by improving demand in warehouse automation, data center, semiconductor, and energy", even as "persistent trade volatility and geopolitical uncertainty continued to delay large capital investments in other industries, including automotive and consumer packaged goods". Notably, data center sales</w:t>
      </w:r>
      <w:r>
        <w:t xml:space="preserve"> </w:t>
      </w:r>
      <w:r>
        <w:rPr>
          <w:b/>
          <w:bCs/>
        </w:rPr>
        <w:t xml:space="preserve">more than doubled year-over-year</w:t>
      </w:r>
      <w:r>
        <w:t xml:space="preserve">, and e-commerce/warehouse automation grew over 30%, while Software &amp; Control (Logix) grew organic sales 17%, with Logix itself up over 20%.</w:t>
      </w:r>
    </w:p>
    <w:bookmarkEnd w:id="10"/>
    <w:bookmarkStart w:id="11" w:name="Xe1be56f8f73a230c673ddae784fb67ae9e8d752"/>
    <w:p>
      <w:pPr>
        <w:pStyle w:val="Heading2"/>
      </w:pPr>
      <w:r>
        <w:t xml:space="preserve">Q3 Guidance — What Management Told Us to Expect</w:t>
      </w:r>
    </w:p>
    <w:p>
      <w:pPr>
        <w:pStyle w:val="FirstParagraph"/>
      </w:pPr>
      <w:r>
        <w:t xml:space="preserve">On the Q2 call, CFO Christian Rothe gave fairly specific Q3 color:</w:t>
      </w:r>
    </w:p>
    <w:p>
      <w:pPr>
        <w:pStyle w:val="Compact"/>
        <w:numPr>
          <w:ilvl w:val="0"/>
          <w:numId w:val="1001"/>
        </w:numPr>
      </w:pPr>
      <w:r>
        <w:t xml:space="preserve">"In Q3, we expect total company reported sales to be roughly flat sequentially with correspondingly flat enterprise operating margin... We are losing about $50 million of sequential sales due to the Sensia dissolution, offset by growth predominantly in the Intelligent Devices segment."</w:t>
      </w:r>
    </w:p>
    <w:p>
      <w:pPr>
        <w:pStyle w:val="Compact"/>
        <w:numPr>
          <w:ilvl w:val="0"/>
          <w:numId w:val="1001"/>
        </w:numPr>
      </w:pPr>
      <w:r>
        <w:t xml:space="preserve">"We expect third quarter adjusted EPS to be up about $0.05 sequentially or up mid- to high teens year-over-year."</w:t>
      </w:r>
    </w:p>
    <w:p>
      <w:pPr>
        <w:pStyle w:val="Compact"/>
        <w:numPr>
          <w:ilvl w:val="0"/>
          <w:numId w:val="1001"/>
        </w:numPr>
      </w:pPr>
      <w:r>
        <w:t xml:space="preserve">Segment margin trends expected: Intelligent Devices up slightly, Software &amp; Control down (following an unusually strong 34.9% Q2 print), Lifecycle Services up slightly post-Sensia.</w:t>
      </w:r>
    </w:p>
    <w:p>
      <w:pPr>
        <w:pStyle w:val="FirstParagraph"/>
      </w:pPr>
      <w:r>
        <w:t xml:space="preserve">Management also flagged</w:t>
      </w:r>
      <w:r>
        <w:t xml:space="preserve"> </w:t>
      </w:r>
      <w:r>
        <w:rPr>
          <w:b/>
          <w:bCs/>
        </w:rPr>
        <w:t xml:space="preserve">rising input cost inflation</w:t>
      </w:r>
      <w:r>
        <w:t xml:space="preserve"> </w:t>
      </w:r>
      <w:r>
        <w:t xml:space="preserve">in the back half — "memory costs continue to increase in Q2 and are now expected to represent a double-digit million dollar headwind in the back half" — being offset by additional pricing action, with total fiscal 2026 price realization now expected at 250 basis points (150 bps underlying, 100 bps tariff-related).</w:t>
      </w:r>
    </w:p>
    <w:bookmarkEnd w:id="11"/>
    <w:bookmarkStart w:id="12" w:name="street-expectations-for-tomorrow"/>
    <w:p>
      <w:pPr>
        <w:pStyle w:val="Heading2"/>
      </w:pPr>
      <w:r>
        <w:t xml:space="preserve">Street Expectations for Tomorrow</w:t>
      </w:r>
    </w:p>
    <w:p>
      <w:pPr>
        <w:pStyle w:val="Compact"/>
        <w:numPr>
          <w:ilvl w:val="0"/>
          <w:numId w:val="1002"/>
        </w:numPr>
      </w:pPr>
      <w:r>
        <w:rPr>
          <w:b/>
          <w:bCs/>
        </w:rPr>
        <w:t xml:space="preserve">EPS:</w:t>
      </w:r>
      <w:r>
        <w:t xml:space="preserve"> </w:t>
      </w:r>
      <w:r>
        <w:t xml:space="preserve">Consensus sits around</w:t>
      </w:r>
      <w:r>
        <w:t xml:space="preserve"> </w:t>
      </w:r>
      <m:oMath>
        <m:r>
          <m:t>3.37</m:t>
        </m:r>
        <m:r>
          <m:rPr>
            <m:sty m:val="p"/>
          </m:rPr>
          <m:t>−</m:t>
        </m:r>
      </m:oMath>
      <w:r>
        <w:rPr>
          <w:b/>
          <w:bCs/>
        </w:rPr>
        <w:t xml:space="preserve">3.39</w:t>
      </w:r>
      <w:r>
        <w:t xml:space="preserve"> </w:t>
      </w:r>
      <w:r>
        <w:t xml:space="preserve">(Zacks consensus at $3.39, up 2.1% over the past 60 days; other trackers around</w:t>
      </w:r>
      <w:r>
        <w:t xml:space="preserve"> </w:t>
      </w:r>
      <m:oMath>
        <m:r>
          <m:t>3.37</m:t>
        </m:r>
        <m:r>
          <m:rPr>
            <m:sty m:val="p"/>
          </m:rPr>
          <m:t>−</m:t>
        </m:r>
      </m:oMath>
      <w:r>
        <w:t xml:space="preserve">3.38), implying roughly</w:t>
      </w:r>
      <w:r>
        <w:t xml:space="preserve"> </w:t>
      </w:r>
      <w:r>
        <w:rPr>
          <w:b/>
          <w:bCs/>
        </w:rPr>
        <w:t xml:space="preserve">20% YoY growth</w:t>
      </w:r>
      <w:r>
        <w:t xml:space="preserve">.</w:t>
      </w:r>
    </w:p>
    <w:p>
      <w:pPr>
        <w:pStyle w:val="Compact"/>
        <w:numPr>
          <w:ilvl w:val="0"/>
          <w:numId w:val="1002"/>
        </w:numPr>
      </w:pPr>
      <w:r>
        <w:rPr>
          <w:b/>
          <w:bCs/>
        </w:rPr>
        <w:t xml:space="preserve">Revenue:</w:t>
      </w:r>
      <w:r>
        <w:t xml:space="preserve"> </w:t>
      </w:r>
      <w:r>
        <w:t xml:space="preserve">Consensus around</w:t>
      </w:r>
      <w:r>
        <w:t xml:space="preserve"> </w:t>
      </w:r>
      <m:oMath>
        <m:r>
          <m:t>2.24</m:t>
        </m:r>
        <m:r>
          <m:rPr>
            <m:sty m:val="p"/>
          </m:rPr>
          <m:t>−</m:t>
        </m:r>
      </m:oMath>
      <w:r>
        <w:rPr>
          <w:b/>
          <w:bCs/>
        </w:rPr>
        <w:t xml:space="preserve">2.26 billion</w:t>
      </w:r>
      <w:r>
        <w:t xml:space="preserve">, implying roughly 5% YoY growth (some estimates as high as ~4.7-5.2%).</w:t>
      </w:r>
    </w:p>
    <w:p>
      <w:pPr>
        <w:pStyle w:val="Compact"/>
        <w:numPr>
          <w:ilvl w:val="0"/>
          <w:numId w:val="1002"/>
        </w:numPr>
      </w:pPr>
      <w:r>
        <w:t xml:space="preserve">"Analysts expect earnings of $3.38 per share on revenue of $2.24 billion, representing year-over-year increases of 19.86% and 4.67%, respectively", which would mark a sequential improvement from the $3.30 per share Rockwell earned in the prior quarter, when the company delivered a surprise 14.58% earnings beat.</w:t>
      </w:r>
    </w:p>
    <w:p>
      <w:pPr>
        <w:pStyle w:val="Compact"/>
        <w:numPr>
          <w:ilvl w:val="0"/>
          <w:numId w:val="1002"/>
        </w:numPr>
      </w:pPr>
      <w:r>
        <w:t xml:space="preserve">Track record favors a beat: "Rockwell Automation's earnings beat the Zacks Consensus Estimates in the trailing four quarters, the average surprise being 10.2%," and the Zacks model currently points to another beat, with an Earnings ESP of +1.71% combined with a favorable Zacks Rank.</w:t>
      </w:r>
    </w:p>
    <w:p>
      <w:pPr>
        <w:pStyle w:val="Compact"/>
        <w:numPr>
          <w:ilvl w:val="0"/>
          <w:numId w:val="1002"/>
        </w:numPr>
      </w:pPr>
      <w:r>
        <w:t xml:space="preserve">For the</w:t>
      </w:r>
      <w:r>
        <w:t xml:space="preserve"> </w:t>
      </w:r>
      <w:r>
        <w:rPr>
          <w:b/>
          <w:bCs/>
        </w:rPr>
        <w:t xml:space="preserve">full fiscal year</w:t>
      </w:r>
      <w:r>
        <w:t xml:space="preserve">, analysts on average expect Rockwell to post about $13 EPS for the current fiscal year and $15 EPS for next fiscal year — implying Street numbers are already running slightly above the top of management's own</w:t>
      </w:r>
      <w:r>
        <w:t xml:space="preserve"> </w:t>
      </w:r>
      <m:oMath>
        <m:r>
          <m:t>12.50</m:t>
        </m:r>
        <m:r>
          <m:rPr>
            <m:sty m:val="p"/>
          </m:rPr>
          <m:t>−</m:t>
        </m:r>
      </m:oMath>
      <w:r>
        <w:t xml:space="preserve">13.10 guide.</w:t>
      </w:r>
    </w:p>
    <w:bookmarkEnd w:id="12"/>
    <w:bookmarkStart w:id="13" w:name="macro-backdrop-tailwind-improving"/>
    <w:p>
      <w:pPr>
        <w:pStyle w:val="Heading2"/>
      </w:pPr>
      <w:r>
        <w:t xml:space="preserve">Macro Backdrop: Tailwind Improving</w:t>
      </w:r>
    </w:p>
    <w:p>
      <w:pPr>
        <w:pStyle w:val="FirstParagraph"/>
      </w:pPr>
      <w:r>
        <w:t xml:space="preserve">The manufacturing backdrop has firmed into the print. The ISM Manufacturing PMI registered 55.6% in July 2026, 2.3 percentage points above the June figure and the highest reading since May 2022, with the overall economy in expansion for the 21st month in a row. Of the six largest manufacturing industries, four (Transportation Equipment, Machinery, Computer &amp; Electronic Products, and Food, Beverage &amp; Tobacco Products) expanded in July, and new orders expanded at 56.7%, up 0.7 point from June. This corroborates management's Q2 commentary about broadening demand and should support order/book-to-bill trends investors will scrutinize this quarter.</w:t>
      </w:r>
    </w:p>
    <w:bookmarkEnd w:id="13"/>
    <w:bookmarkStart w:id="14" w:name="key-things-to-watch-on-the-call"/>
    <w:p>
      <w:pPr>
        <w:pStyle w:val="Heading2"/>
      </w:pPr>
      <w:r>
        <w:t xml:space="preserve">Key Things to Watch on the Call</w:t>
      </w:r>
    </w:p>
    <w:p>
      <w:pPr>
        <w:pStyle w:val="Compact"/>
        <w:numPr>
          <w:ilvl w:val="0"/>
          <w:numId w:val="1003"/>
        </w:numPr>
      </w:pPr>
      <w:r>
        <w:rPr>
          <w:b/>
          <w:bCs/>
        </w:rPr>
        <w:t xml:space="preserve">Book-to-bill and order trends</w:t>
      </w:r>
      <w:r>
        <w:t xml:space="preserve"> </w:t>
      </w:r>
      <w:r>
        <w:t xml:space="preserve">— Q2's book-to-bill was "slightly higher than our historical average" (the 0.95-1.10 corridor); investors will want to see whether order momentum in Intelligent Devices/Logix continued into Q3, and whether management reiterates no evidence of pull-forward buying.</w:t>
      </w:r>
    </w:p>
    <w:p>
      <w:pPr>
        <w:pStyle w:val="Compact"/>
        <w:numPr>
          <w:ilvl w:val="0"/>
          <w:numId w:val="1003"/>
        </w:numPr>
      </w:pPr>
      <w:r>
        <w:rPr>
          <w:b/>
          <w:bCs/>
        </w:rPr>
        <w:t xml:space="preserve">Margin trajectory vs. inflation</w:t>
      </w:r>
      <w:r>
        <w:t xml:space="preserve"> </w:t>
      </w:r>
      <w:r>
        <w:t xml:space="preserve">— Q2's enterprise operating margin of 22.5% was well above the medium-term ~22% target; guidance calls for flat sequential margin in Q3 as memory/component inflation and stepped-up R&amp;D spend bite. Any signs pricing is lagging cost inflation, or conversely that productivity is offsetting it better than expected, will move the stock.</w:t>
      </w:r>
    </w:p>
    <w:p>
      <w:pPr>
        <w:pStyle w:val="Compact"/>
        <w:numPr>
          <w:ilvl w:val="0"/>
          <w:numId w:val="1003"/>
        </w:numPr>
      </w:pPr>
      <w:r>
        <w:rPr>
          <w:b/>
          <w:bCs/>
        </w:rPr>
        <w:t xml:space="preserve">Segment-level trends</w:t>
      </w:r>
      <w:r>
        <w:t xml:space="preserve">: Software &amp; Control margin (34.9% in Q2, guided down sequentially) — is this a high-water mark or sustainable given ARR growth? Lifecycle Services organic sales (down 1% in Q2) — watch for stabilization now that the Sensia divestiture has fully rolled through comparisons.</w:t>
      </w:r>
    </w:p>
    <w:p>
      <w:pPr>
        <w:pStyle w:val="Compact"/>
        <w:numPr>
          <w:ilvl w:val="0"/>
          <w:numId w:val="1003"/>
        </w:numPr>
      </w:pPr>
      <w:r>
        <w:rPr>
          <w:b/>
          <w:bCs/>
        </w:rPr>
        <w:t xml:space="preserve">End-market breadth</w:t>
      </w:r>
      <w:r>
        <w:t xml:space="preserve"> </w:t>
      </w:r>
      <w:r>
        <w:t xml:space="preserve">— watch for continued strength in data center, warehouse/e-commerce, semiconductor, and energy, versus still-muted automotive and CPG capex. Any signs of a broader capital spending "unlock" in autos (tied to USMCA/tariff clarity) would be a notable positive catalyst.</w:t>
      </w:r>
    </w:p>
    <w:p>
      <w:pPr>
        <w:pStyle w:val="Compact"/>
        <w:numPr>
          <w:ilvl w:val="0"/>
          <w:numId w:val="1003"/>
        </w:numPr>
      </w:pPr>
      <w:r>
        <w:rPr>
          <w:b/>
          <w:bCs/>
        </w:rPr>
        <w:t xml:space="preserve">Tariffs and pricing</w:t>
      </w:r>
      <w:r>
        <w:t xml:space="preserve"> </w:t>
      </w:r>
      <w:r>
        <w:t xml:space="preserve">— management has been explicit about targeting full tariff-cost recovery through pricing; any commentary on Section 301 tariffs, IEEPA refund claims, or new trade developments could move guidance assumptions.</w:t>
      </w:r>
    </w:p>
    <w:p>
      <w:pPr>
        <w:pStyle w:val="Compact"/>
        <w:numPr>
          <w:ilvl w:val="0"/>
          <w:numId w:val="1003"/>
        </w:numPr>
      </w:pPr>
      <w:r>
        <w:rPr>
          <w:b/>
          <w:bCs/>
        </w:rPr>
        <w:t xml:space="preserve">Full-year guidance revision</w:t>
      </w:r>
      <w:r>
        <w:t xml:space="preserve"> </w:t>
      </w:r>
      <w:r>
        <w:t xml:space="preserve">— given Q2's beat-and-raise and a favorable ISM print, the Street will be watching for another guidance increase (current FY26 guide: reported/organic sales growth 5%-9%, Adjusted EPS</w:t>
      </w:r>
      <w:r>
        <w:t xml:space="preserve"> </w:t>
      </w:r>
      <m:oMath>
        <m:r>
          <m:t>12.50</m:t>
        </m:r>
        <m:r>
          <m:rPr>
            <m:sty m:val="p"/>
          </m:rPr>
          <m:t>−</m:t>
        </m:r>
      </m:oMath>
      <w:r>
        <w:t xml:space="preserve">13.10). A raise that merely reflects the Q2 beat with no incremental Q3/Q4 improvement could disappoint given how much good news is already priced into shares near all-time highs.</w:t>
      </w:r>
    </w:p>
    <w:p>
      <w:pPr>
        <w:pStyle w:val="Compact"/>
        <w:numPr>
          <w:ilvl w:val="0"/>
          <w:numId w:val="1003"/>
        </w:numPr>
      </w:pPr>
      <w:r>
        <w:rPr>
          <w:b/>
          <w:bCs/>
        </w:rPr>
        <w:t xml:space="preserve">Capital allocation</w:t>
      </w:r>
      <w:r>
        <w:t xml:space="preserve"> </w:t>
      </w:r>
      <w:r>
        <w:t xml:space="preserve">— buybacks (~$850M planned for FY26, $318M remaining under the current authorization as of Q2) and free cash flow conversion (targeted at 100% for FY26) remain a steady positive.</w:t>
      </w:r>
    </w:p>
    <w:bookmarkEnd w:id="14"/>
    <w:bookmarkStart w:id="15" w:name="bottom-line"/>
    <w:p>
      <w:pPr>
        <w:pStyle w:val="Heading2"/>
      </w:pPr>
      <w:r>
        <w:t xml:space="preserve">Bottom Line</w:t>
      </w:r>
    </w:p>
    <w:p>
      <w:pPr>
        <w:pStyle w:val="FirstParagraph"/>
      </w:pPr>
      <w:r>
        <w:t xml:space="preserve">Rockwell heads into this print in a strong position operationally — accelerating organic growth, record margins, and broadening end-market demand (data center, semiconductor, warehouse automation, energy) — set against a supportive macro backdrop (strongest ISM PMI in over four years). However, with the stock up roughly 18% since the May print, valuation near 42x earnings, and Street numbers already at or above the high end of management's own guidance range, the bar for a positive reaction is high. A "beat-and-raise" quarter in line with the pattern of the last four quarters would likely be needed to sustain momentum; anything that merely meets expectations — especially if margin commentary skews cautious on memory/component inflation — could trigger a "sell the news" reaction given how much optimism is already embedded in the shares.</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2026-08-04T00:40:30Z</dcterms:created>
  <dcterms:modified xsi:type="dcterms:W3CDTF">2026-08-04T00:40:30Z</dcterms:modified>
</cp:coreProperties>
</file>

<file path=docProps/custom.xml><?xml version="1.0" encoding="utf-8"?>
<Properties xmlns="http://schemas.openxmlformats.org/officeDocument/2006/custom-properties" xmlns:vt="http://schemas.openxmlformats.org/officeDocument/2006/docPropsVTypes"/>
</file>