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ok-earnings-predictions--2026-08-04"/>
    <w:p>
      <w:pPr>
        <w:pStyle w:val="Heading1"/>
      </w:pPr>
      <w:r>
        <w:t xml:space="preserve">ROK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Q3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~$3.48 vs. cons $3.38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Q3 2026 reported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~$2.27B vs. cons $2.24B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Q3 2026 enterprise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~22.8% vs. cons 22.5%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~$13.15 vs. cons $13.03 (fiscal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Reported sales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~$9.00B vs. cons $9.00B (fiscal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Enterprise operating margin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~21.8% vs. cons 21.7% (fiscal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+1.8% (STABILIZE)</w:t>
            </w:r>
          </w:p>
        </w:tc>
        <w:tc>
          <w:tcPr/>
          <w:p>
            <w:pPr>
              <w:pStyle w:val="Compact"/>
            </w:pPr>
            <w:r>
              <w:t xml:space="preserve">A ~3.0% day-1 residual stabilizes near ~1.8% by day 5: the quarter should beat, but fiscal-2026 guidance implies roughly $3.62 of Q4 adjusted EPS versus approximately $3.64 consensus, limiting out-period estimate revisions despite stronger full-year guidance.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2026-08-04T00:37:58Z</dcterms:created>
  <dcterms:modified xsi:type="dcterms:W3CDTF">2026-08-04T00:37:58Z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