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010ca718a4acb38039db838eaa462a6198ccf1f"/>
    <w:p>
      <w:pPr>
        <w:pStyle w:val="Heading1"/>
      </w:pPr>
      <w:r>
        <w:t xml:space="preserve">Rockwell Automation (NYSE: ROK) Fiscal Q3 2026 Earnings Preview</w:t>
      </w:r>
    </w:p>
    <w:p>
      <w:pPr>
        <w:pStyle w:val="BlockText"/>
      </w:pPr>
      <w:r>
        <w:rPr>
          <w:b/>
          <w:bCs/>
        </w:rPr>
        <w:t xml:space="preserve">Timing note:</w:t>
      </w:r>
      <w:r>
        <w:t xml:space="preserve"> </w:t>
      </w:r>
      <w:r>
        <w:t xml:space="preserve">Rockwell is scheduled to report</w:t>
      </w:r>
      <w:r>
        <w:t xml:space="preserve"> </w:t>
      </w:r>
      <w:r>
        <w:rPr>
          <w:b/>
          <w:bCs/>
        </w:rPr>
        <w:t xml:space="preserve">today, Tuesday, August 4, 2026</w:t>
      </w:r>
      <w:r>
        <w:t xml:space="preserve">, before the market opens—not tomorrow. The earnings call is scheduled for</w:t>
      </w:r>
      <w:r>
        <w:t xml:space="preserve"> </w:t>
      </w:r>
      <w:r>
        <w:rPr>
          <w:b/>
          <w:bCs/>
        </w:rPr>
        <w:t xml:space="preserve">8:30 a.m. ET / 7:30 a.m. CT</w:t>
      </w:r>
      <w:r>
        <w:t xml:space="preserve">. (</w:t>
      </w:r>
      <w:hyperlink r:id="rId9">
        <w:r>
          <w:rPr>
            <w:rStyle w:val="Hyperlink"/>
          </w:rPr>
          <w:t xml:space="preserve">rockwellautomation.com</w:t>
        </w:r>
      </w:hyperlink>
      <w:r>
        <w:t xml:space="preserve">)</w:t>
      </w:r>
    </w:p>
    <w:bookmarkStart w:id="11" w:name="investment-setup"/>
    <w:p>
      <w:pPr>
        <w:pStyle w:val="Heading2"/>
      </w:pPr>
      <w:r>
        <w:t xml:space="preserve">Investment setup</w:t>
      </w:r>
    </w:p>
    <w:p>
      <w:pPr>
        <w:pStyle w:val="FirstParagraph"/>
      </w:pPr>
      <w:r>
        <w:t xml:space="preserve">Rockwell enters fiscal Q3 with strong operating momentum but a demanding valuation and elevated expectations. Fiscal Q2 substantially exceeded management’s assumptions: organic sales grew 9%, adjusted EPS rose 32%, and enterprise operating margin expanded 350 basis points to 22.5%. Management consequently raised its full-year sales, margin, and EPS outlook. (</w:t>
      </w:r>
      <w:hyperlink r:id="rId10">
        <w:r>
          <w:rPr>
            <w:rStyle w:val="Hyperlink"/>
          </w:rPr>
          <w:t xml:space="preserve">rockwellautomation.com</w:t>
        </w:r>
      </w:hyperlink>
      <w:r>
        <w:t xml:space="preserve">)</w:t>
      </w:r>
    </w:p>
    <w:p>
      <w:pPr>
        <w:pStyle w:val="BodyText"/>
      </w:pPr>
      <w:r>
        <w:t xml:space="preserve">The central question is therefore</w:t>
      </w:r>
      <w:r>
        <w:t xml:space="preserve"> </w:t>
      </w:r>
      <w:r>
        <w:rPr>
          <w:b/>
          <w:bCs/>
        </w:rPr>
        <w:t xml:space="preserve">not simply whether Q3 is good</w:t>
      </w:r>
      <w:r>
        <w:t xml:space="preserve">. Investors need to determine whether:</w:t>
      </w:r>
    </w:p>
    <w:p>
      <w:pPr>
        <w:pStyle w:val="Compact"/>
        <w:numPr>
          <w:ilvl w:val="0"/>
          <w:numId w:val="1001"/>
        </w:numPr>
      </w:pPr>
      <w:r>
        <w:t xml:space="preserve">demand continues to broaden beyond data centers, warehouse automation, and semiconductors;</w:t>
      </w:r>
    </w:p>
    <w:p>
      <w:pPr>
        <w:pStyle w:val="Compact"/>
        <w:numPr>
          <w:ilvl w:val="0"/>
          <w:numId w:val="1001"/>
        </w:numPr>
      </w:pPr>
      <w:r>
        <w:t xml:space="preserve">Q2’s unusually strong margins are sustainable as component, memory, freight, and development costs rise; and</w:t>
      </w:r>
    </w:p>
    <w:p>
      <w:pPr>
        <w:pStyle w:val="Compact"/>
        <w:numPr>
          <w:ilvl w:val="0"/>
          <w:numId w:val="1001"/>
        </w:numPr>
      </w:pPr>
      <w:r>
        <w:t xml:space="preserve">management can raise—or at least de-risk—the fiscal-year outlook enough to support a stock trading at roughly</w:t>
      </w:r>
      <w:r>
        <w:t xml:space="preserve"> </w:t>
      </w:r>
      <w:r>
        <w:rPr>
          <w:b/>
          <w:bCs/>
        </w:rPr>
        <w:t xml:space="preserve">38 times the current-year adjusted EPS guidance midpoint</w:t>
      </w:r>
      <w:r>
        <w:t xml:space="preserve">.</w:t>
      </w:r>
    </w:p>
    <w:bookmarkEnd w:id="11"/>
    <w:bookmarkStart w:id="12" w:name="management-implied-q3-benchmarks"/>
    <w:p>
      <w:pPr>
        <w:pStyle w:val="Heading2"/>
      </w:pPr>
      <w:r>
        <w:t xml:space="preserve">Management-implied Q3 benchmarks</w:t>
      </w:r>
    </w:p>
    <w:p>
      <w:pPr>
        <w:pStyle w:val="FirstParagraph"/>
      </w:pPr>
      <w:r>
        <w:t xml:space="preserve">These are based on management’s May guidance rather than third-party consensus estimates.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Q3 benchmark</w:t>
            </w:r>
          </w:p>
        </w:tc>
        <w:tc>
          <w:tcPr/>
          <w:p>
            <w:pPr>
              <w:pStyle w:val="Compact"/>
            </w:pPr>
            <w:r>
              <w:t xml:space="preserve">Context</w:t>
            </w:r>
          </w:p>
        </w:tc>
      </w:tr>
      <w:tr>
        <w:tc>
          <w:tcPr/>
          <w:p>
            <w:pPr>
              <w:pStyle w:val="Compact"/>
            </w:pPr>
            <w:r>
              <w:t xml:space="preserve">Reported sales</w:t>
            </w:r>
          </w:p>
        </w:tc>
        <w:tc>
          <w:tcPr/>
          <w:p>
            <w:pPr>
              <w:pStyle w:val="Compact"/>
              <w:jc w:val="right"/>
            </w:pPr>
            <w:r>
              <w:rPr>
                <w:b/>
                <w:bCs/>
              </w:rPr>
              <w:t xml:space="preserve">Approximately $2.24 billion</w:t>
            </w:r>
          </w:p>
        </w:tc>
        <w:tc>
          <w:tcPr/>
          <w:p>
            <w:pPr>
              <w:pStyle w:val="Compact"/>
            </w:pPr>
            <w:r>
              <w:t xml:space="preserve">Roughly flat sequentially from Q2</w:t>
            </w:r>
          </w:p>
        </w:tc>
      </w:tr>
      <w:tr>
        <w:tc>
          <w:tcPr/>
          <w:p>
            <w:pPr>
              <w:pStyle w:val="Compact"/>
            </w:pPr>
            <w:r>
              <w:t xml:space="preserve">Adjusted EPS</w:t>
            </w:r>
          </w:p>
        </w:tc>
        <w:tc>
          <w:tcPr/>
          <w:p>
            <w:pPr>
              <w:pStyle w:val="Compact"/>
              <w:jc w:val="right"/>
            </w:pPr>
            <w:r>
              <w:rPr>
                <w:b/>
                <w:bCs/>
              </w:rPr>
              <w:t xml:space="preserve">Approximately $3.35</w:t>
            </w:r>
          </w:p>
        </w:tc>
        <w:tc>
          <w:tcPr/>
          <w:p>
            <w:pPr>
              <w:pStyle w:val="Compact"/>
            </w:pPr>
            <w:r>
              <w:t xml:space="preserve">About $0.05 above Q2</w:t>
            </w:r>
          </w:p>
        </w:tc>
      </w:tr>
      <w:tr>
        <w:tc>
          <w:tcPr/>
          <w:p>
            <w:pPr>
              <w:pStyle w:val="Compact"/>
            </w:pPr>
            <w:r>
              <w:t xml:space="preserve">Enterprise operating margin</w:t>
            </w:r>
          </w:p>
        </w:tc>
        <w:tc>
          <w:tcPr/>
          <w:p>
            <w:pPr>
              <w:pStyle w:val="Compact"/>
              <w:jc w:val="right"/>
            </w:pPr>
            <w:r>
              <w:rPr>
                <w:b/>
                <w:bCs/>
              </w:rPr>
              <w:t xml:space="preserve">Approximately 22.5%</w:t>
            </w:r>
          </w:p>
        </w:tc>
        <w:tc>
          <w:tcPr/>
          <w:p>
            <w:pPr>
              <w:pStyle w:val="Compact"/>
            </w:pPr>
            <w:r>
              <w:t xml:space="preserve">Roughly flat sequentially</w:t>
            </w:r>
          </w:p>
        </w:tc>
      </w:tr>
      <w:tr>
        <w:tc>
          <w:tcPr/>
          <w:p>
            <w:pPr>
              <w:pStyle w:val="Compact"/>
            </w:pPr>
            <w:r>
              <w:t xml:space="preserve">Reported sales growth</w:t>
            </w:r>
          </w:p>
        </w:tc>
        <w:tc>
          <w:tcPr/>
          <w:p>
            <w:pPr>
              <w:pStyle w:val="Compact"/>
              <w:jc w:val="right"/>
            </w:pPr>
            <w:r>
              <w:rPr>
                <w:b/>
                <w:bCs/>
              </w:rPr>
              <w:t xml:space="preserve">Approximately 4%–5% YoY</w:t>
            </w:r>
          </w:p>
        </w:tc>
        <w:tc>
          <w:tcPr/>
          <w:p>
            <w:pPr>
              <w:pStyle w:val="Compact"/>
            </w:pPr>
            <w:r>
              <w:t xml:space="preserve">Q3 FY25 sales were $2.144 billion</w:t>
            </w:r>
          </w:p>
        </w:tc>
      </w:tr>
      <w:tr>
        <w:tc>
          <w:tcPr/>
          <w:p>
            <w:pPr>
              <w:pStyle w:val="Compact"/>
            </w:pPr>
            <w:r>
              <w:t xml:space="preserve">Adjusted EPS growth</w:t>
            </w:r>
          </w:p>
        </w:tc>
        <w:tc>
          <w:tcPr/>
          <w:p>
            <w:pPr>
              <w:pStyle w:val="Compact"/>
              <w:jc w:val="right"/>
            </w:pPr>
            <w:r>
              <w:rPr>
                <w:b/>
                <w:bCs/>
              </w:rPr>
              <w:t xml:space="preserve">Approximately 19% YoY</w:t>
            </w:r>
          </w:p>
        </w:tc>
        <w:tc>
          <w:tcPr/>
          <w:p>
            <w:pPr>
              <w:pStyle w:val="Compact"/>
            </w:pPr>
            <w:r>
              <w:t xml:space="preserve">Q3 FY25 adjusted EPS was $2.82</w:t>
            </w:r>
          </w:p>
        </w:tc>
      </w:tr>
    </w:tbl>
    <w:p>
      <w:pPr>
        <w:pStyle w:val="BodyText"/>
      </w:pPr>
      <w:r>
        <w:t xml:space="preserve">The sales target is more impressive than “flat sequentially” initially sounds. Rockwell expected the Sensia dissolution to remove about</w:t>
      </w:r>
      <w:r>
        <w:t xml:space="preserve"> </w:t>
      </w:r>
      <w:r>
        <w:rPr>
          <w:b/>
          <w:bCs/>
        </w:rPr>
        <w:t xml:space="preserve">$50 million of sequential revenue</w:t>
      </w:r>
      <w:r>
        <w:t xml:space="preserve">, with underlying growth—principally in Intelligent Devices—offsetting that loss.</w:t>
      </w:r>
    </w:p>
    <w:bookmarkEnd w:id="12"/>
    <w:bookmarkStart w:id="18" w:name="what-matters-most"/>
    <w:p>
      <w:pPr>
        <w:pStyle w:val="Heading2"/>
      </w:pPr>
      <w:r>
        <w:t xml:space="preserve">What matters most</w:t>
      </w:r>
    </w:p>
    <w:bookmarkStart w:id="13" w:name="Xd59406faa5dd43c8b8ff4789907cf2f463d55da"/>
    <w:p>
      <w:pPr>
        <w:pStyle w:val="Heading3"/>
      </w:pPr>
      <w:r>
        <w:t xml:space="preserve">1. Orders and book-to-bill</w:t>
      </w:r>
    </w:p>
    <w:p>
      <w:pPr>
        <w:pStyle w:val="FirstParagraph"/>
      </w:pPr>
      <w:r>
        <w:t xml:space="preserve">Q2 company orders grew at a double-digit rate, and book-to-bill was slightly above Rockwell’s normal first-three-quarter range of 0.95–1.10. Management also said it saw no distributor or customer pull-forward.</w:t>
      </w:r>
    </w:p>
    <w:p>
      <w:pPr>
        <w:pStyle w:val="BodyText"/>
      </w:pPr>
      <w:r>
        <w:t xml:space="preserve">That creates a meaningful Q3 test:</w:t>
      </w:r>
    </w:p>
    <w:p>
      <w:pPr>
        <w:pStyle w:val="Compact"/>
        <w:numPr>
          <w:ilvl w:val="0"/>
          <w:numId w:val="1002"/>
        </w:numPr>
      </w:pPr>
      <w:r>
        <w:t xml:space="preserve">Did orders remain above shipments?</w:t>
      </w:r>
    </w:p>
    <w:p>
      <w:pPr>
        <w:pStyle w:val="Compact"/>
        <w:numPr>
          <w:ilvl w:val="0"/>
          <w:numId w:val="1002"/>
        </w:numPr>
      </w:pPr>
      <w:r>
        <w:t xml:space="preserve">Are distributor inventories still consistent with end demand?</w:t>
      </w:r>
    </w:p>
    <w:p>
      <w:pPr>
        <w:pStyle w:val="Compact"/>
        <w:numPr>
          <w:ilvl w:val="0"/>
          <w:numId w:val="1002"/>
        </w:numPr>
      </w:pPr>
      <w:r>
        <w:t xml:space="preserve">Is backlog building in products as well as Lifecycle Services?</w:t>
      </w:r>
    </w:p>
    <w:p>
      <w:pPr>
        <w:pStyle w:val="Compact"/>
        <w:numPr>
          <w:ilvl w:val="0"/>
          <w:numId w:val="1002"/>
        </w:numPr>
      </w:pPr>
      <w:r>
        <w:t xml:space="preserve">Did tariff uncertainty delay projects during the quarter?</w:t>
      </w:r>
    </w:p>
    <w:p>
      <w:pPr>
        <w:pStyle w:val="FirstParagraph"/>
      </w:pPr>
      <w:r>
        <w:t xml:space="preserve">A book-to-bill around or above 1.0, accompanied by constructive commentary on distributor sell-through, would support the view that Rockwell is in the early stages of a broader industrial recovery. A sharp deterioration would raise questions about whether Q2 represented a temporary surge.</w:t>
      </w:r>
    </w:p>
    <w:bookmarkEnd w:id="13"/>
    <w:bookmarkStart w:id="14" w:name="X08c584ac3450e29b51643f8b4d21c9e9fba1262"/>
    <w:p>
      <w:pPr>
        <w:pStyle w:val="Heading3"/>
      </w:pPr>
      <w:r>
        <w:t xml:space="preserve">2. Software &amp; Control margin durability</w:t>
      </w:r>
    </w:p>
    <w:p>
      <w:pPr>
        <w:pStyle w:val="FirstParagraph"/>
      </w:pPr>
      <w:r>
        <w:t xml:space="preserve">Software &amp; Control was the standout business in Q2:</w:t>
      </w:r>
    </w:p>
    <w:p>
      <w:pPr>
        <w:pStyle w:val="Compact"/>
        <w:numPr>
          <w:ilvl w:val="0"/>
          <w:numId w:val="1003"/>
        </w:numPr>
      </w:pPr>
      <w:r>
        <w:t xml:space="preserve">sales increased 20%;</w:t>
      </w:r>
    </w:p>
    <w:p>
      <w:pPr>
        <w:pStyle w:val="Compact"/>
        <w:numPr>
          <w:ilvl w:val="0"/>
          <w:numId w:val="1003"/>
        </w:numPr>
      </w:pPr>
      <w:r>
        <w:t xml:space="preserve">organic sales increased 17%;</w:t>
      </w:r>
    </w:p>
    <w:p>
      <w:pPr>
        <w:pStyle w:val="Compact"/>
        <w:numPr>
          <w:ilvl w:val="0"/>
          <w:numId w:val="1003"/>
        </w:numPr>
      </w:pPr>
      <w:r>
        <w:t xml:space="preserve">segment margin reached 34.9%;</w:t>
      </w:r>
    </w:p>
    <w:p>
      <w:pPr>
        <w:pStyle w:val="Compact"/>
        <w:numPr>
          <w:ilvl w:val="0"/>
          <w:numId w:val="1003"/>
        </w:numPr>
      </w:pPr>
      <w:r>
        <w:t xml:space="preserve">Logix sales grew more than 20%.</w:t>
      </w:r>
    </w:p>
    <w:p>
      <w:pPr>
        <w:pStyle w:val="FirstParagraph"/>
      </w:pPr>
      <w:r>
        <w:t xml:space="preserve">Management explicitly guided the segment’s margin lower sequentially in Q3. Memory inflation, greater engineering and product-development spending, and normalization from exceptional Q2 conversion are all expected headwinds.</w:t>
      </w:r>
    </w:p>
    <w:p>
      <w:pPr>
        <w:pStyle w:val="BodyText"/>
      </w:pPr>
      <w:r>
        <w:t xml:space="preserve">The key distinction is between:</w:t>
      </w:r>
    </w:p>
    <w:p>
      <w:pPr>
        <w:pStyle w:val="Compact"/>
        <w:numPr>
          <w:ilvl w:val="0"/>
          <w:numId w:val="1004"/>
        </w:numPr>
      </w:pPr>
      <w:r>
        <w:rPr>
          <w:b/>
          <w:bCs/>
        </w:rPr>
        <w:t xml:space="preserve">healthy normalization</w:t>
      </w:r>
      <w:r>
        <w:t xml:space="preserve">, with margins remaining in or above Rockwell’s 31%–34% medium-term corridor; and</w:t>
      </w:r>
    </w:p>
    <w:p>
      <w:pPr>
        <w:pStyle w:val="Compact"/>
        <w:numPr>
          <w:ilvl w:val="0"/>
          <w:numId w:val="1004"/>
        </w:numPr>
      </w:pPr>
      <w:r>
        <w:rPr>
          <w:b/>
          <w:bCs/>
        </w:rPr>
        <w:t xml:space="preserve">a sharper reversal</w:t>
      </w:r>
      <w:r>
        <w:t xml:space="preserve">, suggesting Q2 benefited from unusually favorable mix, timing, or spending restraint.</w:t>
      </w:r>
    </w:p>
    <w:p>
      <w:pPr>
        <w:pStyle w:val="FirstParagraph"/>
      </w:pPr>
      <w:r>
        <w:t xml:space="preserve">Investors should pay particular attention to whether management still sees low-double-digit full-year Software &amp; Control revenue growth and a full-year margin in the low 30s.</w:t>
      </w:r>
    </w:p>
    <w:bookmarkEnd w:id="14"/>
    <w:bookmarkStart w:id="15" w:name="Xb934ae7771716c6b7786ab99503291fa51504ea"/>
    <w:p>
      <w:pPr>
        <w:pStyle w:val="Heading3"/>
      </w:pPr>
      <w:r>
        <w:t xml:space="preserve">3. Data-center and warehouse-automation momentum</w:t>
      </w:r>
    </w:p>
    <w:p>
      <w:pPr>
        <w:pStyle w:val="FirstParagraph"/>
      </w:pPr>
      <w:r>
        <w:t xml:space="preserve">Data centers were among Rockwell’s strongest Q2 markets, with sales more than doubling year over year. Rockwell participates through industrial controllers, power distribution, drives, and equipment supplied to HVAC and cooling-system manufacturers.</w:t>
      </w:r>
    </w:p>
    <w:p>
      <w:pPr>
        <w:pStyle w:val="BodyText"/>
      </w:pPr>
      <w:r>
        <w:t xml:space="preserve">E-commerce and warehouse-automation sales also increased about 30%, while semiconductor sales grew in the high teens. Rockwell’s fiscal-year assumptions called for approximately 20% growth in e-commerce and warehouse automation and approximately 10% growth in semiconductor. (</w:t>
      </w:r>
      <w:hyperlink r:id="rId10">
        <w:r>
          <w:rPr>
            <w:rStyle w:val="Hyperlink"/>
          </w:rPr>
          <w:t xml:space="preserve">rockwellautomation.com</w:t>
        </w:r>
      </w:hyperlink>
      <w:r>
        <w:t xml:space="preserve">)</w:t>
      </w:r>
    </w:p>
    <w:p>
      <w:pPr>
        <w:pStyle w:val="BodyText"/>
      </w:pPr>
      <w:r>
        <w:t xml:space="preserve">Investors should look for:</w:t>
      </w:r>
    </w:p>
    <w:p>
      <w:pPr>
        <w:pStyle w:val="Compact"/>
        <w:numPr>
          <w:ilvl w:val="0"/>
          <w:numId w:val="1005"/>
        </w:numPr>
      </w:pPr>
      <w:r>
        <w:t xml:space="preserve">evidence that data-center growth remains broad-based rather than project-driven;</w:t>
      </w:r>
    </w:p>
    <w:p>
      <w:pPr>
        <w:pStyle w:val="Compact"/>
        <w:numPr>
          <w:ilvl w:val="0"/>
          <w:numId w:val="1005"/>
        </w:numPr>
      </w:pPr>
      <w:r>
        <w:t xml:space="preserve">additional conversions from commercial controls to industrial-grade Logix PLCs;</w:t>
      </w:r>
    </w:p>
    <w:p>
      <w:pPr>
        <w:pStyle w:val="Compact"/>
        <w:numPr>
          <w:ilvl w:val="0"/>
          <w:numId w:val="1005"/>
        </w:numPr>
      </w:pPr>
      <w:r>
        <w:t xml:space="preserve">continued spending on warehouse retrofits and productivity projects;</w:t>
      </w:r>
    </w:p>
    <w:p>
      <w:pPr>
        <w:pStyle w:val="Compact"/>
        <w:numPr>
          <w:ilvl w:val="0"/>
          <w:numId w:val="1005"/>
        </w:numPr>
      </w:pPr>
      <w:r>
        <w:t xml:space="preserve">semiconductor demand extending beyond AI-related customers; and</w:t>
      </w:r>
    </w:p>
    <w:p>
      <w:pPr>
        <w:pStyle w:val="Compact"/>
        <w:numPr>
          <w:ilvl w:val="0"/>
          <w:numId w:val="1005"/>
        </w:numPr>
      </w:pPr>
      <w:r>
        <w:t xml:space="preserve">management’s first meaningful sizing of data centers if the vertical has become material.</w:t>
      </w:r>
    </w:p>
    <w:p>
      <w:pPr>
        <w:pStyle w:val="FirstParagraph"/>
      </w:pPr>
      <w:r>
        <w:t xml:space="preserve">These businesses are important not just for revenue growth: their hardware and controller mix has also supported Rockwell’s strong operating leverage.</w:t>
      </w:r>
    </w:p>
    <w:bookmarkEnd w:id="15"/>
    <w:bookmarkStart w:id="16" w:name="X37df1983eac3aab2cca087c96cd31affb48db7f"/>
    <w:p>
      <w:pPr>
        <w:pStyle w:val="Heading3"/>
      </w:pPr>
      <w:r>
        <w:t xml:space="preserve">4. Recovery in automotive and consumer packaged goods</w:t>
      </w:r>
    </w:p>
    <w:p>
      <w:pPr>
        <w:pStyle w:val="FirstParagraph"/>
      </w:pPr>
      <w:r>
        <w:t xml:space="preserve">Q2 growth was broad, but management continued to describe large capital projects in automotive and consumer packaged goods as subdued. Growth was being driven more by:</w:t>
      </w:r>
    </w:p>
    <w:p>
      <w:pPr>
        <w:pStyle w:val="Compact"/>
        <w:numPr>
          <w:ilvl w:val="0"/>
          <w:numId w:val="1006"/>
        </w:numPr>
      </w:pPr>
      <w:r>
        <w:t xml:space="preserve">brownfield modernization;</w:t>
      </w:r>
    </w:p>
    <w:p>
      <w:pPr>
        <w:pStyle w:val="Compact"/>
        <w:numPr>
          <w:ilvl w:val="0"/>
          <w:numId w:val="1006"/>
        </w:numPr>
      </w:pPr>
      <w:r>
        <w:t xml:space="preserve">productivity projects;</w:t>
      </w:r>
    </w:p>
    <w:p>
      <w:pPr>
        <w:pStyle w:val="Compact"/>
        <w:numPr>
          <w:ilvl w:val="0"/>
          <w:numId w:val="1006"/>
        </w:numPr>
      </w:pPr>
      <w:r>
        <w:t xml:space="preserve">midsized customers;</w:t>
      </w:r>
    </w:p>
    <w:p>
      <w:pPr>
        <w:pStyle w:val="Compact"/>
        <w:numPr>
          <w:ilvl w:val="0"/>
          <w:numId w:val="1006"/>
        </w:numPr>
      </w:pPr>
      <w:r>
        <w:t xml:space="preserve">autonomous mobile robots;</w:t>
      </w:r>
    </w:p>
    <w:p>
      <w:pPr>
        <w:pStyle w:val="Compact"/>
        <w:numPr>
          <w:ilvl w:val="0"/>
          <w:numId w:val="1006"/>
        </w:numPr>
      </w:pPr>
      <w:r>
        <w:t xml:space="preserve">maintenance and manufacturing software; and</w:t>
      </w:r>
    </w:p>
    <w:p>
      <w:pPr>
        <w:pStyle w:val="Compact"/>
        <w:numPr>
          <w:ilvl w:val="0"/>
          <w:numId w:val="1006"/>
        </w:numPr>
      </w:pPr>
      <w:r>
        <w:t xml:space="preserve">selected capacity additions.</w:t>
      </w:r>
    </w:p>
    <w:p>
      <w:pPr>
        <w:pStyle w:val="FirstParagraph"/>
      </w:pPr>
      <w:r>
        <w:t xml:space="preserve">A true investment-cycle acceleration would require evidence that customers are approving larger greenfield and production-line projects. Commentary around automotive is particularly important given ongoing trade-policy uncertainty and Rockwell’s roughly 10% revenue exposure to that vertical.</w:t>
      </w:r>
    </w:p>
    <w:p>
      <w:pPr>
        <w:pStyle w:val="BodyText"/>
      </w:pPr>
      <w:r>
        <w:t xml:space="preserve">Continued healthy sales without a large-project recovery would still be constructive, but it would leave the outlook more dependent on short-cycle products and a handful of faster-growing markets.</w:t>
      </w:r>
    </w:p>
    <w:bookmarkEnd w:id="16"/>
    <w:bookmarkStart w:id="17" w:name="X1094adf0536d98ec9807e74497de7db521fe721"/>
    <w:p>
      <w:pPr>
        <w:pStyle w:val="Heading3"/>
      </w:pPr>
      <w:r>
        <w:t xml:space="preserve">5. Price/cost and inflation</w:t>
      </w:r>
    </w:p>
    <w:p>
      <w:pPr>
        <w:pStyle w:val="FirstParagraph"/>
      </w:pPr>
      <w:r>
        <w:t xml:space="preserve">Rockwell expected fiscal 2026 pricing of approximately 2.5%:</w:t>
      </w:r>
    </w:p>
    <w:p>
      <w:pPr>
        <w:pStyle w:val="Compact"/>
        <w:numPr>
          <w:ilvl w:val="0"/>
          <w:numId w:val="1007"/>
        </w:numPr>
      </w:pPr>
      <w:r>
        <w:t xml:space="preserve">roughly 1.5% underlying price; and</w:t>
      </w:r>
    </w:p>
    <w:p>
      <w:pPr>
        <w:pStyle w:val="Compact"/>
        <w:numPr>
          <w:ilvl w:val="0"/>
          <w:numId w:val="1007"/>
        </w:numPr>
      </w:pPr>
      <w:r>
        <w:t xml:space="preserve">roughly 1.0% tariff-related price.</w:t>
      </w:r>
    </w:p>
    <w:p>
      <w:pPr>
        <w:pStyle w:val="FirstParagraph"/>
      </w:pPr>
      <w:r>
        <w:t xml:space="preserve">Management’s objective was to recover tariff costs fully for the year. However, it warned that the timing of price and cost realization would not align perfectly quarter by quarter. Memory alone was expected to create a double-digit-million-dollar headwind in the second half, with additional pressure from commodities, transportation, energy, and suppliers.</w:t>
      </w:r>
    </w:p>
    <w:p>
      <w:pPr>
        <w:pStyle w:val="BodyText"/>
      </w:pPr>
      <w:r>
        <w:t xml:space="preserve">The earnings call should clarify:</w:t>
      </w:r>
    </w:p>
    <w:p>
      <w:pPr>
        <w:pStyle w:val="Compact"/>
        <w:numPr>
          <w:ilvl w:val="0"/>
          <w:numId w:val="1008"/>
        </w:numPr>
      </w:pPr>
      <w:r>
        <w:t xml:space="preserve">whether tariff-related pricing remains earnings-neutral;</w:t>
      </w:r>
    </w:p>
    <w:p>
      <w:pPr>
        <w:pStyle w:val="Compact"/>
        <w:numPr>
          <w:ilvl w:val="0"/>
          <w:numId w:val="1008"/>
        </w:numPr>
      </w:pPr>
      <w:r>
        <w:t xml:space="preserve">whether memory and freight costs have worsened;</w:t>
      </w:r>
    </w:p>
    <w:p>
      <w:pPr>
        <w:pStyle w:val="Compact"/>
        <w:numPr>
          <w:ilvl w:val="0"/>
          <w:numId w:val="1008"/>
        </w:numPr>
      </w:pPr>
      <w:r>
        <w:t xml:space="preserve">how much price carries into fiscal 2027;</w:t>
      </w:r>
    </w:p>
    <w:p>
      <w:pPr>
        <w:pStyle w:val="Compact"/>
        <w:numPr>
          <w:ilvl w:val="0"/>
          <w:numId w:val="1008"/>
        </w:numPr>
      </w:pPr>
      <w:r>
        <w:t xml:space="preserve">whether higher safety stock is affecting working capital; and</w:t>
      </w:r>
    </w:p>
    <w:p>
      <w:pPr>
        <w:pStyle w:val="Compact"/>
        <w:numPr>
          <w:ilvl w:val="0"/>
          <w:numId w:val="1008"/>
        </w:numPr>
      </w:pPr>
      <w:r>
        <w:t xml:space="preserve">whether potential tariff refunds have been recognized.</w:t>
      </w:r>
    </w:p>
    <w:p>
      <w:pPr>
        <w:pStyle w:val="FirstParagraph"/>
      </w:pPr>
      <w:r>
        <w:t xml:space="preserve">The prior outlook included no benefit from potential IEEPA tariff refunds. Rockwell also indicated that qualified customers could receive refunds if prior tariff payments are ultimately returned.</w:t>
      </w:r>
    </w:p>
    <w:bookmarkEnd w:id="17"/>
    <w:bookmarkEnd w:id="18"/>
    <w:bookmarkStart w:id="19" w:name="Xafc53a3131c6c9eb66df2ee2813a3469592c397"/>
    <w:p>
      <w:pPr>
        <w:pStyle w:val="Heading2"/>
      </w:pPr>
      <w:r>
        <w:t xml:space="preserve">Sensia: avoid misreading the reported numbers</w:t>
      </w:r>
    </w:p>
    <w:p>
      <w:pPr>
        <w:pStyle w:val="FirstParagraph"/>
      </w:pPr>
      <w:r>
        <w:t xml:space="preserve">Rockwell dissolved its Sensia joint venture on April 1. The transaction is expected to:</w:t>
      </w:r>
    </w:p>
    <w:p>
      <w:pPr>
        <w:pStyle w:val="Compact"/>
        <w:numPr>
          <w:ilvl w:val="0"/>
          <w:numId w:val="1009"/>
        </w:numPr>
      </w:pPr>
      <w:r>
        <w:t xml:space="preserve">reduce reported Lifecycle Services and total-company revenue;</w:t>
      </w:r>
    </w:p>
    <w:p>
      <w:pPr>
        <w:pStyle w:val="Compact"/>
        <w:numPr>
          <w:ilvl w:val="0"/>
          <w:numId w:val="1009"/>
        </w:numPr>
      </w:pPr>
      <w:r>
        <w:t xml:space="preserve">raise Lifecycle Services and consolidated margin percentages;</w:t>
      </w:r>
    </w:p>
    <w:p>
      <w:pPr>
        <w:pStyle w:val="Compact"/>
        <w:numPr>
          <w:ilvl w:val="0"/>
          <w:numId w:val="1009"/>
        </w:numPr>
      </w:pPr>
      <w:r>
        <w:t xml:space="preserve">have approximately neutral EPS impact; and</w:t>
      </w:r>
    </w:p>
    <w:p>
      <w:pPr>
        <w:pStyle w:val="Compact"/>
        <w:numPr>
          <w:ilvl w:val="0"/>
          <w:numId w:val="1009"/>
        </w:numPr>
      </w:pPr>
      <w:r>
        <w:t xml:space="preserve">complicate year-over-year and sequential comparisons.</w:t>
      </w:r>
    </w:p>
    <w:p>
      <w:pPr>
        <w:pStyle w:val="FirstParagraph"/>
      </w:pPr>
      <w:r>
        <w:t xml:space="preserve">The prior full-year outlook assumed approximately a</w:t>
      </w:r>
      <w:r>
        <w:t xml:space="preserve"> </w:t>
      </w:r>
      <w:r>
        <w:rPr>
          <w:b/>
          <w:bCs/>
        </w:rPr>
        <w:t xml:space="preserve">1.5-percentage-point divestiture headwind</w:t>
      </w:r>
      <w:r>
        <w:t xml:space="preserve">, including about $100 million less reported revenue than the previous forecast. (</w:t>
      </w:r>
      <w:hyperlink r:id="rId10">
        <w:r>
          <w:rPr>
            <w:rStyle w:val="Hyperlink"/>
          </w:rPr>
          <w:t xml:space="preserve">rockwellautomation.com</w:t>
        </w:r>
      </w:hyperlink>
      <w:r>
        <w:t xml:space="preserve">)</w:t>
      </w:r>
    </w:p>
    <w:p>
      <w:pPr>
        <w:pStyle w:val="BodyText"/>
      </w:pPr>
      <w:r>
        <w:t xml:space="preserve">Accordingly, a reported Lifecycle Services revenue decline is not necessarily evidence of weaker underlying demand. Investors should focus on organic comparisons, orders, book-to-bill, backlog, and the margin benefit after removing the lower-margin divested operations.</w:t>
      </w:r>
    </w:p>
    <w:bookmarkEnd w:id="19"/>
    <w:bookmarkStart w:id="20" w:name="full-year-guide-the-more-important-event"/>
    <w:p>
      <w:pPr>
        <w:pStyle w:val="Heading2"/>
      </w:pPr>
      <w:r>
        <w:t xml:space="preserve">Full-year guide: the more important event</w:t>
      </w:r>
    </w:p>
    <w:p>
      <w:pPr>
        <w:pStyle w:val="FirstParagraph"/>
      </w:pPr>
      <w:r>
        <w:t xml:space="preserve">Rockwell’s existing fiscal 2026 outlook is: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Existing guidance</w:t>
            </w:r>
          </w:p>
        </w:tc>
      </w:tr>
      <w:tr>
        <w:tc>
          <w:tcPr/>
          <w:p>
            <w:pPr>
              <w:pStyle w:val="Compact"/>
            </w:pPr>
            <w:r>
              <w:t xml:space="preserve">Reported sales growth</w:t>
            </w:r>
          </w:p>
        </w:tc>
        <w:tc>
          <w:tcPr/>
          <w:p>
            <w:pPr>
              <w:pStyle w:val="Compact"/>
              <w:jc w:val="right"/>
            </w:pPr>
            <w:r>
              <w:rPr>
                <w:b/>
                <w:bCs/>
              </w:rPr>
              <w:t xml:space="preserve">5%–9%</w:t>
            </w:r>
          </w:p>
        </w:tc>
      </w:tr>
      <w:tr>
        <w:tc>
          <w:tcPr/>
          <w:p>
            <w:pPr>
              <w:pStyle w:val="Compact"/>
            </w:pPr>
            <w:r>
              <w:t xml:space="preserve">Organic sales growth</w:t>
            </w:r>
          </w:p>
        </w:tc>
        <w:tc>
          <w:tcPr/>
          <w:p>
            <w:pPr>
              <w:pStyle w:val="Compact"/>
              <w:jc w:val="right"/>
            </w:pPr>
            <w:r>
              <w:rPr>
                <w:b/>
                <w:bCs/>
              </w:rPr>
              <w:t xml:space="preserve">5%–9%</w:t>
            </w:r>
          </w:p>
        </w:tc>
      </w:tr>
      <w:tr>
        <w:tc>
          <w:tcPr/>
          <w:p>
            <w:pPr>
              <w:pStyle w:val="Compact"/>
            </w:pPr>
            <w:r>
              <w:t xml:space="preserve">Reported sales midpoint</w:t>
            </w:r>
          </w:p>
        </w:tc>
        <w:tc>
          <w:tcPr/>
          <w:p>
            <w:pPr>
              <w:pStyle w:val="Compact"/>
              <w:jc w:val="right"/>
            </w:pPr>
            <w:r>
              <w:rPr>
                <w:b/>
                <w:bCs/>
              </w:rPr>
              <w:t xml:space="preserve">Approximately $8.9 billion</w:t>
            </w:r>
          </w:p>
        </w:tc>
      </w:tr>
      <w:tr>
        <w:tc>
          <w:tcPr/>
          <w:p>
            <w:pPr>
              <w:pStyle w:val="Compact"/>
            </w:pPr>
            <w:r>
              <w:t xml:space="preserve">Enterprise operating margin</w:t>
            </w:r>
          </w:p>
        </w:tc>
        <w:tc>
          <w:tcPr/>
          <w:p>
            <w:pPr>
              <w:pStyle w:val="Compact"/>
              <w:jc w:val="right"/>
            </w:pPr>
            <w:r>
              <w:rPr>
                <w:b/>
                <w:bCs/>
              </w:rPr>
              <w:t xml:space="preserve">Approximately 21.5%</w:t>
            </w:r>
          </w:p>
        </w:tc>
      </w:tr>
      <w:tr>
        <w:tc>
          <w:tcPr/>
          <w:p>
            <w:pPr>
              <w:pStyle w:val="Compact"/>
            </w:pPr>
            <w:r>
              <w:t xml:space="preserve">Adjusted EPS</w:t>
            </w:r>
          </w:p>
        </w:tc>
        <w:tc>
          <w:tcPr/>
          <w:p>
            <w:pPr>
              <w:pStyle w:val="Compact"/>
              <w:jc w:val="right"/>
            </w:pPr>
            <m:oMath>
              <m:r>
                <m:t>12.50</m:t>
              </m:r>
              <m:r>
                <m:rPr>
                  <m:sty m:val="p"/>
                </m:rPr>
                <m:t>–</m:t>
              </m:r>
            </m:oMath>
            <w:r>
              <w:rPr>
                <w:b/>
                <w:bCs/>
              </w:rPr>
              <w:t xml:space="preserve">13.10</w:t>
            </w:r>
          </w:p>
        </w:tc>
      </w:tr>
      <w:tr>
        <w:tc>
          <w:tcPr/>
          <w:p>
            <w:pPr>
              <w:pStyle w:val="Compact"/>
            </w:pPr>
            <w:r>
              <w:t xml:space="preserve">Adjusted tax rate</w:t>
            </w:r>
          </w:p>
        </w:tc>
        <w:tc>
          <w:tcPr/>
          <w:p>
            <w:pPr>
              <w:pStyle w:val="Compact"/>
              <w:jc w:val="right"/>
            </w:pPr>
            <w:r>
              <w:rPr>
                <w:b/>
                <w:bCs/>
              </w:rPr>
              <w:t xml:space="preserve">Approximately 19.5%</w:t>
            </w:r>
          </w:p>
        </w:tc>
      </w:tr>
      <w:tr>
        <w:tc>
          <w:tcPr/>
          <w:p>
            <w:pPr>
              <w:pStyle w:val="Compact"/>
            </w:pPr>
            <w:r>
              <w:t xml:space="preserve">Free-cash-flow conversion</w:t>
            </w:r>
          </w:p>
        </w:tc>
        <w:tc>
          <w:tcPr/>
          <w:p>
            <w:pPr>
              <w:pStyle w:val="Compact"/>
              <w:jc w:val="right"/>
            </w:pPr>
            <w:r>
              <w:rPr>
                <w:b/>
                <w:bCs/>
              </w:rPr>
              <w:t xml:space="preserve">Approximately 100%</w:t>
            </w:r>
          </w:p>
        </w:tc>
      </w:tr>
    </w:tbl>
    <w:p>
      <w:pPr>
        <w:pStyle w:val="BodyText"/>
      </w:pPr>
      <w:r>
        <w:t xml:space="preserve">Rockwell produced $4.344 billion of sales and $6.05 of adjusted EPS in the first half. If Q3 lands near management’s prior indications, the full-year midpoint would imply approximately:</w:t>
      </w:r>
    </w:p>
    <w:p>
      <w:pPr>
        <w:pStyle w:val="Compact"/>
        <w:numPr>
          <w:ilvl w:val="0"/>
          <w:numId w:val="1010"/>
        </w:numPr>
      </w:pPr>
      <w:r>
        <w:rPr>
          <w:b/>
          <w:bCs/>
        </w:rPr>
        <w:t xml:space="preserve">$2.32 billion of Q4 sales</w:t>
      </w:r>
      <w:r>
        <w:t xml:space="preserve">; and</w:t>
      </w:r>
    </w:p>
    <w:p>
      <w:pPr>
        <w:pStyle w:val="Compact"/>
        <w:numPr>
          <w:ilvl w:val="0"/>
          <w:numId w:val="1010"/>
        </w:numPr>
      </w:pPr>
      <w:r>
        <w:rPr>
          <w:b/>
          <w:bCs/>
        </w:rPr>
        <w:t xml:space="preserve">$3.40 of Q4 adjusted EPS</w:t>
      </w:r>
      <w:r>
        <w:t xml:space="preserve">.</w:t>
      </w:r>
    </w:p>
    <w:p>
      <w:pPr>
        <w:pStyle w:val="FirstParagraph"/>
      </w:pPr>
      <w:r>
        <w:t xml:space="preserve">That is not an especially aggressive Q4 earnings hurdle, but Q4 normally includes a less favorable mix from higher Lifecycle Services and engineered-system deliveries.</w:t>
      </w:r>
    </w:p>
    <w:p>
      <w:pPr>
        <w:pStyle w:val="BodyText"/>
      </w:pPr>
      <w:r>
        <w:t xml:space="preserve">A simple reaffirmation would preserve a wide guidance range with only one quarter remaining. Investors are therefore likely to prefer either:</w:t>
      </w:r>
    </w:p>
    <w:p>
      <w:pPr>
        <w:pStyle w:val="Compact"/>
        <w:numPr>
          <w:ilvl w:val="0"/>
          <w:numId w:val="1011"/>
        </w:numPr>
      </w:pPr>
      <w:r>
        <w:t xml:space="preserve">a narrower range around or above the current midpoint;</w:t>
      </w:r>
    </w:p>
    <w:p>
      <w:pPr>
        <w:pStyle w:val="Compact"/>
        <w:numPr>
          <w:ilvl w:val="0"/>
          <w:numId w:val="1011"/>
        </w:numPr>
      </w:pPr>
      <w:r>
        <w:t xml:space="preserve">an increase to the midpoint;</w:t>
      </w:r>
    </w:p>
    <w:p>
      <w:pPr>
        <w:pStyle w:val="Compact"/>
        <w:numPr>
          <w:ilvl w:val="0"/>
          <w:numId w:val="1011"/>
        </w:numPr>
      </w:pPr>
      <w:r>
        <w:t xml:space="preserve">stronger order commentary that de-risks Q4; or</w:t>
      </w:r>
    </w:p>
    <w:p>
      <w:pPr>
        <w:pStyle w:val="Compact"/>
        <w:numPr>
          <w:ilvl w:val="0"/>
          <w:numId w:val="1011"/>
        </w:numPr>
      </w:pPr>
      <w:r>
        <w:t xml:space="preserve">evidence that margins can remain near current levels despite the expected Q4 mix shift.</w:t>
      </w:r>
    </w:p>
    <w:bookmarkEnd w:id="20"/>
    <w:bookmarkStart w:id="21" w:name="cash-flow-and-capital-allocation"/>
    <w:p>
      <w:pPr>
        <w:pStyle w:val="Heading2"/>
      </w:pPr>
      <w:r>
        <w:t xml:space="preserve">Cash flow and capital allocation</w:t>
      </w:r>
    </w:p>
    <w:p>
      <w:pPr>
        <w:pStyle w:val="FirstParagraph"/>
      </w:pPr>
      <w:r>
        <w:t xml:space="preserve">First-half free cash flow of $445 million lagged adjusted income due to working capital and compensation payments, even though Q2 cash generation improved substantially. Rockwell still expects approximately 100% full-year free-cash-flow conversion, implying a significant second-half cash contribution. (</w:t>
      </w:r>
      <w:hyperlink r:id="rId10">
        <w:r>
          <w:rPr>
            <w:rStyle w:val="Hyperlink"/>
          </w:rPr>
          <w:t xml:space="preserve">rockwellautomation.com</w:t>
        </w:r>
      </w:hyperlink>
      <w:r>
        <w:t xml:space="preserve">)</w:t>
      </w:r>
    </w:p>
    <w:p>
      <w:pPr>
        <w:pStyle w:val="BodyText"/>
      </w:pPr>
      <w:r>
        <w:t xml:space="preserve">Areas to monitor include:</w:t>
      </w:r>
    </w:p>
    <w:p>
      <w:pPr>
        <w:pStyle w:val="Compact"/>
        <w:numPr>
          <w:ilvl w:val="0"/>
          <w:numId w:val="1012"/>
        </w:numPr>
      </w:pPr>
      <w:r>
        <w:t xml:space="preserve">receivables following strong product shipments;</w:t>
      </w:r>
    </w:p>
    <w:p>
      <w:pPr>
        <w:pStyle w:val="Compact"/>
        <w:numPr>
          <w:ilvl w:val="0"/>
          <w:numId w:val="1012"/>
        </w:numPr>
      </w:pPr>
      <w:r>
        <w:t xml:space="preserve">inventory and safety-stock increases;</w:t>
      </w:r>
    </w:p>
    <w:p>
      <w:pPr>
        <w:pStyle w:val="Compact"/>
        <w:numPr>
          <w:ilvl w:val="0"/>
          <w:numId w:val="1012"/>
        </w:numPr>
      </w:pPr>
      <w:r>
        <w:t xml:space="preserve">fiscal-year capital expenditure near 3% of sales;</w:t>
      </w:r>
    </w:p>
    <w:p>
      <w:pPr>
        <w:pStyle w:val="Compact"/>
        <w:numPr>
          <w:ilvl w:val="0"/>
          <w:numId w:val="1012"/>
        </w:numPr>
      </w:pPr>
      <w:r>
        <w:t xml:space="preserve">progress toward approximately $850 million of share repurchases; and</w:t>
      </w:r>
    </w:p>
    <w:p>
      <w:pPr>
        <w:pStyle w:val="Compact"/>
        <w:numPr>
          <w:ilvl w:val="0"/>
          <w:numId w:val="1012"/>
        </w:numPr>
      </w:pPr>
      <w:r>
        <w:t xml:space="preserve">use of commercial paper after aggressive first-half repurchases.</w:t>
      </w:r>
    </w:p>
    <w:p>
      <w:pPr>
        <w:pStyle w:val="FirstParagraph"/>
      </w:pPr>
      <w:r>
        <w:t xml:space="preserve">A miss on free-cash-flow conversion would be more concerning if caused by inventory accumulation rather than simply shipment timing.</w:t>
      </w:r>
    </w:p>
    <w:bookmarkEnd w:id="21"/>
    <w:bookmarkStart w:id="22" w:name="expectations-and-valuation"/>
    <w:p>
      <w:pPr>
        <w:pStyle w:val="Heading2"/>
      </w:pPr>
      <w:r>
        <w:t xml:space="preserve">Expectations and valuation</w:t>
      </w:r>
    </w:p>
    <w:p>
      <w:pPr>
        <w:pStyle w:val="FirstParagraph"/>
      </w:pPr>
      <w:r>
        <w:t xml:space="preserve">ROK closed at</w:t>
      </w:r>
      <w:r>
        <w:t xml:space="preserve"> </w:t>
      </w:r>
      <w:r>
        <w:rPr>
          <w:b/>
          <w:bCs/>
        </w:rPr>
        <w:t xml:space="preserve">$481.02 on August 3</w:t>
      </w:r>
      <w:r>
        <w:t xml:space="preserve">, approximately 20% above its May 4 close immediately before the fiscal Q2 report. At that price, the shares trade at approximately:</w:t>
      </w:r>
    </w:p>
    <w:p>
      <w:pPr>
        <w:pStyle w:val="Compact"/>
        <w:numPr>
          <w:ilvl w:val="0"/>
          <w:numId w:val="1013"/>
        </w:numPr>
      </w:pPr>
      <w:r>
        <w:rPr>
          <w:b/>
          <w:bCs/>
        </w:rPr>
        <w:t xml:space="preserve">37.6×</w:t>
      </w:r>
      <w:r>
        <w:t xml:space="preserve"> </w:t>
      </w:r>
      <w:r>
        <w:t xml:space="preserve">the $12.80 adjusted EPS guidance midpoint; and</w:t>
      </w:r>
    </w:p>
    <w:p>
      <w:pPr>
        <w:pStyle w:val="Compact"/>
        <w:numPr>
          <w:ilvl w:val="0"/>
          <w:numId w:val="1013"/>
        </w:numPr>
      </w:pPr>
      <w:r>
        <w:rPr>
          <w:b/>
          <w:bCs/>
        </w:rPr>
        <w:t xml:space="preserve">36.7×</w:t>
      </w:r>
      <w:r>
        <w:t xml:space="preserve"> </w:t>
      </w:r>
      <w:r>
        <w:t xml:space="preserve">the top of the current</w:t>
      </w:r>
      <w:r>
        <w:t xml:space="preserve"> </w:t>
      </w:r>
      <m:oMath>
        <m:r>
          <m:t>12.50</m:t>
        </m:r>
        <m:r>
          <m:rPr>
            <m:sty m:val="p"/>
          </m:rPr>
          <m:t>–</m:t>
        </m:r>
      </m:oMath>
      <w:r>
        <w:t xml:space="preserve">13.10 range.</w:t>
      </w:r>
    </w:p>
    <w:p>
      <w:pPr>
        <w:pStyle w:val="FirstParagraph"/>
      </w:pPr>
      <w:r>
        <w:t xml:space="preserve">This is a current-year management-guidance multiple, not a forward consensus multiple, but it illustrates the setup: investors are already paying for continued growth, strong execution, and structural margin improvement.</w:t>
      </w:r>
    </w:p>
    <w:p>
      <w:pPr>
        <w:pStyle w:val="BodyText"/>
      </w:pPr>
      <w:r>
        <w:t xml:space="preserve">As a result:</w:t>
      </w:r>
    </w:p>
    <w:p>
      <w:pPr>
        <w:pStyle w:val="Compact"/>
        <w:numPr>
          <w:ilvl w:val="0"/>
          <w:numId w:val="1014"/>
        </w:numPr>
      </w:pPr>
      <w:r>
        <w:t xml:space="preserve">an in-line quarter with an unchanged guide could receive a muted response;</w:t>
      </w:r>
    </w:p>
    <w:p>
      <w:pPr>
        <w:pStyle w:val="Compact"/>
        <w:numPr>
          <w:ilvl w:val="0"/>
          <w:numId w:val="1014"/>
        </w:numPr>
      </w:pPr>
      <w:r>
        <w:t xml:space="preserve">a modest EPS beat driven only by tax, currency, or spending timing may not be enough;</w:t>
      </w:r>
    </w:p>
    <w:p>
      <w:pPr>
        <w:pStyle w:val="Compact"/>
        <w:numPr>
          <w:ilvl w:val="0"/>
          <w:numId w:val="1014"/>
        </w:numPr>
      </w:pPr>
      <w:r>
        <w:t xml:space="preserve">a positive reaction likely requires strong orders, durable margins, and higher or meaningfully de-risked guidance.</w:t>
      </w:r>
    </w:p>
    <w:bookmarkEnd w:id="22"/>
    <w:bookmarkStart w:id="23" w:name="scenario-framework"/>
    <w:p>
      <w:pPr>
        <w:pStyle w:val="Heading2"/>
      </w:pPr>
      <w:r>
        <w:t xml:space="preserve">Scenario framework</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Scenario</w:t>
            </w:r>
          </w:p>
        </w:tc>
        <w:tc>
          <w:tcPr/>
          <w:p>
            <w:pPr>
              <w:pStyle w:val="Compact"/>
            </w:pPr>
            <w:r>
              <w:t xml:space="preserve">What it could look like</w:t>
            </w:r>
          </w:p>
        </w:tc>
      </w:tr>
      <w:tr>
        <w:tc>
          <w:tcPr/>
          <w:p>
            <w:pPr>
              <w:pStyle w:val="Compact"/>
            </w:pPr>
            <w:r>
              <w:rPr>
                <w:b/>
                <w:bCs/>
              </w:rPr>
              <w:t xml:space="preserve">Bull case</w:t>
            </w:r>
          </w:p>
        </w:tc>
        <w:tc>
          <w:tcPr/>
          <w:p>
            <w:pPr>
              <w:pStyle w:val="Compact"/>
            </w:pPr>
            <w:r>
              <w:t xml:space="preserve">Sales above roughly $2.25 billion; adjusted EPS of at least $3.45; enterprise margin above 22.5%; book-to-bill at or above 1.0; continued data-center and warehouse strength; full-year EPS guide raised or narrowed toward the upper half</w:t>
            </w:r>
          </w:p>
        </w:tc>
      </w:tr>
      <w:tr>
        <w:tc>
          <w:tcPr/>
          <w:p>
            <w:pPr>
              <w:pStyle w:val="Compact"/>
            </w:pPr>
            <w:r>
              <w:rPr>
                <w:b/>
                <w:bCs/>
              </w:rPr>
              <w:t xml:space="preserve">Base case</w:t>
            </w:r>
          </w:p>
        </w:tc>
        <w:tc>
          <w:tcPr/>
          <w:p>
            <w:pPr>
              <w:pStyle w:val="Compact"/>
            </w:pPr>
            <w:r>
              <w:t xml:space="preserve">Sales near $2.24 billion; adjusted EPS around</w:t>
            </w:r>
            <w:r>
              <w:t xml:space="preserve"> </w:t>
            </w:r>
            <m:oMath>
              <m:r>
                <m:t>3.30</m:t>
              </m:r>
              <m:r>
                <m:rPr>
                  <m:sty m:val="p"/>
                </m:rPr>
                <m:t>–</m:t>
              </m:r>
            </m:oMath>
            <w:r>
              <w:t xml:space="preserve">3.40; enterprise margin near 22%; orders remain healthy; full-year guide reaffirmed or narrowed around the midpoint</w:t>
            </w:r>
          </w:p>
        </w:tc>
      </w:tr>
      <w:tr>
        <w:tc>
          <w:tcPr/>
          <w:p>
            <w:pPr>
              <w:pStyle w:val="Compact"/>
            </w:pPr>
            <w:r>
              <w:rPr>
                <w:b/>
                <w:bCs/>
              </w:rPr>
              <w:t xml:space="preserve">Bear case</w:t>
            </w:r>
          </w:p>
        </w:tc>
        <w:tc>
          <w:tcPr/>
          <w:p>
            <w:pPr>
              <w:pStyle w:val="Compact"/>
            </w:pPr>
            <w:r>
              <w:t xml:space="preserve">Sales below roughly $2.20 billion; adjusted EPS below $3.20; pronounced Software &amp; Control margin decline; weaker product orders or distributor demand; inflation outpaces price; guidance midpoint reduced</w:t>
            </w:r>
          </w:p>
        </w:tc>
      </w:tr>
    </w:tbl>
    <w:bookmarkEnd w:id="23"/>
    <w:bookmarkStart w:id="24" w:name="bottom-line"/>
    <w:p>
      <w:pPr>
        <w:pStyle w:val="Heading2"/>
      </w:pPr>
      <w:r>
        <w:t xml:space="preserve">Bottom line</w:t>
      </w:r>
    </w:p>
    <w:p>
      <w:pPr>
        <w:pStyle w:val="FirstParagraph"/>
      </w:pPr>
      <w:r>
        <w:t xml:space="preserve">Rockwell’s operating story remains attractive: demand has broadened, Software &amp; Control is producing excellent growth and profitability, productivity initiatives are delivering, and the company has meaningful exposure to data centers, warehouse automation, semiconductors, reshoring, and industrial modernization.</w:t>
      </w:r>
    </w:p>
    <w:p>
      <w:pPr>
        <w:pStyle w:val="BodyText"/>
      </w:pPr>
      <w:r>
        <w:t xml:space="preserve">But the stock’s valuation leaves little room for a merely acceptable report. The most important signals will be:</w:t>
      </w:r>
    </w:p>
    <w:p>
      <w:pPr>
        <w:pStyle w:val="Compact"/>
        <w:numPr>
          <w:ilvl w:val="0"/>
          <w:numId w:val="1015"/>
        </w:numPr>
      </w:pPr>
      <w:r>
        <w:rPr>
          <w:b/>
          <w:bCs/>
        </w:rPr>
        <w:t xml:space="preserve">orders and book-to-bill;</w:t>
      </w:r>
    </w:p>
    <w:p>
      <w:pPr>
        <w:pStyle w:val="Compact"/>
        <w:numPr>
          <w:ilvl w:val="0"/>
          <w:numId w:val="1015"/>
        </w:numPr>
      </w:pPr>
      <w:r>
        <w:rPr>
          <w:b/>
          <w:bCs/>
        </w:rPr>
        <w:t xml:space="preserve">Software &amp; Control margin durability;</w:t>
      </w:r>
    </w:p>
    <w:p>
      <w:pPr>
        <w:pStyle w:val="Compact"/>
        <w:numPr>
          <w:ilvl w:val="0"/>
          <w:numId w:val="1015"/>
        </w:numPr>
      </w:pPr>
      <w:r>
        <w:rPr>
          <w:b/>
          <w:bCs/>
        </w:rPr>
        <w:t xml:space="preserve">continued data-center and warehouse growth;</w:t>
      </w:r>
    </w:p>
    <w:p>
      <w:pPr>
        <w:pStyle w:val="Compact"/>
        <w:numPr>
          <w:ilvl w:val="0"/>
          <w:numId w:val="1015"/>
        </w:numPr>
      </w:pPr>
      <w:r>
        <w:rPr>
          <w:b/>
          <w:bCs/>
        </w:rPr>
        <w:t xml:space="preserve">price/cost performance amid higher memory, freight, and tariff costs;</w:t>
      </w:r>
    </w:p>
    <w:p>
      <w:pPr>
        <w:pStyle w:val="Compact"/>
        <w:numPr>
          <w:ilvl w:val="0"/>
          <w:numId w:val="1015"/>
        </w:numPr>
      </w:pPr>
      <w:r>
        <w:rPr>
          <w:b/>
          <w:bCs/>
        </w:rPr>
        <w:t xml:space="preserve">progress toward high-single-digit ARR growth;</w:t>
      </w:r>
      <w:r>
        <w:t xml:space="preserve"> </w:t>
      </w:r>
      <w:r>
        <w:t xml:space="preserve">and</w:t>
      </w:r>
    </w:p>
    <w:p>
      <w:pPr>
        <w:pStyle w:val="Compact"/>
        <w:numPr>
          <w:ilvl w:val="0"/>
          <w:numId w:val="1015"/>
        </w:numPr>
      </w:pPr>
      <w:r>
        <w:rPr>
          <w:b/>
          <w:bCs/>
        </w:rPr>
        <w:t xml:space="preserve">whether management raises or materially de-risks the full-year outlook.</w:t>
      </w:r>
    </w:p>
    <w:p>
      <w:pPr>
        <w:pStyle w:val="FirstParagraph"/>
      </w:pPr>
      <w:r>
        <w:t xml:space="preserve">The ideal result is not just an EPS beat. It is a quarter showing that Q2’s demand and margin strength represented a sustainable step-up rather than a favorable convergence of volume, mix, pricing, and controlled spending.</w:t>
      </w:r>
    </w:p>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0" Target="https://www.rockwellautomation.com/content/dam/rockwell-automation/documents/pdf/company/about-us/ir/2026/q2-2026-earnings-presentation.pdf" TargetMode="External" /><Relationship Type="http://schemas.openxmlformats.org/officeDocument/2006/relationships/hyperlink" Id="rId9" Target="https://www.rockwellautomation.com/en-ro/company/news/press-releases/Rockwell-Automation-to-Report-Third-Quarter-Fiscal-2026-Results.html" TargetMode="External" /></Relationships>
</file>

<file path=word/_rels/footnotes.xml.rels><?xml version="1.0" encoding="UTF-8"?><Relationships xmlns="http://schemas.openxmlformats.org/package/2006/relationships"><Relationship Type="http://schemas.openxmlformats.org/officeDocument/2006/relationships/hyperlink" Id="rId10" Target="https://www.rockwellautomation.com/content/dam/rockwell-automation/documents/pdf/company/about-us/ir/2026/q2-2026-earnings-presentation.pdf" TargetMode="External" /><Relationship Type="http://schemas.openxmlformats.org/officeDocument/2006/relationships/hyperlink" Id="rId9" Target="https://www.rockwellautomation.com/en-ro/company/news/press-releases/Rockwell-Automation-to-Report-Third-Quarter-Fiscal-2026-Results.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2026-08-04T00:37:58Z</dcterms:created>
  <dcterms:modified xsi:type="dcterms:W3CDTF">2026-08-04T00:37:58Z</dcterms:modified>
</cp:coreProperties>
</file>

<file path=docProps/custom.xml><?xml version="1.0" encoding="utf-8"?>
<Properties xmlns="http://schemas.openxmlformats.org/officeDocument/2006/custom-properties" xmlns:vt="http://schemas.openxmlformats.org/officeDocument/2006/docPropsVTypes"/>
</file>