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k-earnings-predictions--2026-08-04"/>
    <w:p>
      <w:pPr>
        <w:pStyle w:val="Heading1"/>
      </w:pPr>
      <w:r>
        <w:t xml:space="preserve">ROK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~$3.48 vs. cons $3.38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Reported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~$2.28B vs. cons $2.25B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~22.7% vs. cons 22.5%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~$12.95 vs. cons $12.85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organic-sales-growth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~7.5% vs. cons 7.0%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enterprise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~21.7% vs. cons 21.5%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A ~$3.48 Q3 EPS result versus</w:t>
            </w:r>
            <w:r>
              <w:t xml:space="preserve"> </w:t>
            </w:r>
            <m:oMath>
              <m:r>
                <m:t>3.38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t>a</m:t>
              </m:r>
              <m:r>
                <m:t>i</m:t>
              </m:r>
              <m:r>
                <m:t>r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12.95 versus ~$12.85 consensus, creates positive out-period math: the implied Q4 earnings burden remains achievable despite Software &amp; Control margin normalization, supporting upward FY26/FY27 revisions rather than a one-day beat-and-fade.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2026-08-04T00:38:05Z</dcterms:created>
  <dcterms:modified xsi:type="dcterms:W3CDTF">2026-08-04T00:38:05Z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