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21bed187eed468ede75a43eaae75d738f43ae66"/>
    <w:p>
      <w:pPr>
        <w:pStyle w:val="Heading1"/>
      </w:pPr>
      <w:r>
        <w:t xml:space="preserve">Rockwell Automation (NYSE: ROK) — FY26 Q3 Earnings Preview</w:t>
      </w:r>
    </w:p>
    <w:p>
      <w:pPr>
        <w:pStyle w:val="BlockText"/>
      </w:pPr>
      <w:r>
        <w:rPr>
          <w:b/>
          <w:bCs/>
        </w:rPr>
        <w:t xml:space="preserve">Date clarification:</w:t>
      </w:r>
      <w:r>
        <w:t xml:space="preserve"> </w:t>
      </w:r>
      <w:r>
        <w:t xml:space="preserve">Rockwell is scheduled to report</w:t>
      </w:r>
      <w:r>
        <w:t xml:space="preserve"> </w:t>
      </w:r>
      <w:r>
        <w:rPr>
          <w:b/>
          <w:bCs/>
        </w:rPr>
        <w:t xml:space="preserve">today, Tuesday, August 4, 2026</w:t>
      </w:r>
      <w:r>
        <w:t xml:space="preserve">,</w:t>
      </w:r>
      <w:r>
        <w:t xml:space="preserve"> </w:t>
      </w:r>
      <w:r>
        <w:rPr>
          <w:i/>
          <w:iCs/>
        </w:rPr>
        <w:t xml:space="preserve">before the U.S. market opens</w:t>
      </w:r>
      <w:r>
        <w:t xml:space="preserve">—not tomorrow. The earnings call is scheduled for</w:t>
      </w:r>
      <w:r>
        <w:t xml:space="preserve"> </w:t>
      </w:r>
      <w:r>
        <w:rPr>
          <w:b/>
          <w:bCs/>
        </w:rPr>
        <w:t xml:space="preserve">7:30 a.m. CDT / 8:30 a.m. EDT</w:t>
      </w:r>
      <w:r>
        <w:t xml:space="preserve">. (</w:t>
      </w:r>
      <w:hyperlink r:id="rId9">
        <w:r>
          <w:rPr>
            <w:rStyle w:val="Hyperlink"/>
          </w:rPr>
          <w:t xml:space="preserve">rockwellautomation.com</w:t>
        </w:r>
      </w:hyperlink>
      <w:r>
        <w:t xml:space="preserve">)</w:t>
      </w:r>
    </w:p>
    <w:bookmarkStart w:id="11" w:name="Xa8de345c77c56b849c63df27bb9e088a9b6e623"/>
    <w:p>
      <w:pPr>
        <w:pStyle w:val="Heading2"/>
      </w:pPr>
      <w:r>
        <w:t xml:space="preserve">The setup: another beat is not the only question</w:t>
      </w:r>
    </w:p>
    <w:p>
      <w:pPr>
        <w:pStyle w:val="FirstParagraph"/>
      </w:pPr>
      <w:r>
        <w:t xml:space="preserve">Rockwell enters FY26 Q3 with meaningful operating momentum. In FY26 Q2, the company delivered</w:t>
      </w:r>
      <w:r>
        <w:t xml:space="preserve"> </w:t>
      </w:r>
      <w:r>
        <w:rPr>
          <w:b/>
          <w:bCs/>
        </w:rPr>
        <w:t xml:space="preserve">9% organic sales growth</w:t>
      </w:r>
      <w:r>
        <w:t xml:space="preserve">,</w:t>
      </w:r>
      <w:r>
        <w:t xml:space="preserve"> </w:t>
      </w:r>
      <w:r>
        <w:rPr>
          <w:b/>
          <w:bCs/>
        </w:rPr>
        <w:t xml:space="preserve">22.5% enterprise operating margin</w:t>
      </w:r>
      <w:r>
        <w:t xml:space="preserve">, and</w:t>
      </w:r>
      <w:r>
        <w:t xml:space="preserve"> </w:t>
      </w:r>
      <m:oMath>
        <m:r>
          <m:t>3.30</m:t>
        </m:r>
        <m:r>
          <m:t>a</m:t>
        </m:r>
        <m:r>
          <m:t>d</m:t>
        </m:r>
        <m:r>
          <m:t>j</m:t>
        </m:r>
        <m:r>
          <m:t>u</m:t>
        </m:r>
        <m:r>
          <m:t>s</m:t>
        </m:r>
        <m:r>
          <m:t>t</m:t>
        </m:r>
        <m:r>
          <m:t>e</m:t>
        </m:r>
        <m:r>
          <m:t>d</m:t>
        </m:r>
        <m:r>
          <m:t>E</m:t>
        </m:r>
        <m:r>
          <m:t>P</m:t>
        </m:r>
        <m:r>
          <m:t>S</m:t>
        </m:r>
        <m:r>
          <m:rPr>
            <m:sty m:val="p"/>
          </m:rPr>
          <m:t>*</m:t>
        </m:r>
        <m:r>
          <m:rPr>
            <m:sty m:val="p"/>
          </m:rPr>
          <m:t>*</m:t>
        </m:r>
        <m:r>
          <m:rPr>
            <m:sty m:val="p"/>
          </m:rPr>
          <m:t>,</m:t>
        </m:r>
        <m:r>
          <m:t>t</m:t>
        </m:r>
        <m:r>
          <m:t>h</m:t>
        </m:r>
        <m:r>
          <m:t>e</m:t>
        </m:r>
        <m:r>
          <m:t>n</m:t>
        </m:r>
        <m:r>
          <m:t>r</m:t>
        </m:r>
        <m:r>
          <m:t>a</m:t>
        </m:r>
        <m:r>
          <m:t>i</m:t>
        </m:r>
        <m:r>
          <m:t>s</m:t>
        </m:r>
        <m:r>
          <m:t>e</m:t>
        </m:r>
        <m:r>
          <m:t>d</m:t>
        </m:r>
        <m:r>
          <m:t>f</m:t>
        </m:r>
        <m:r>
          <m:t>u</m:t>
        </m:r>
        <m:r>
          <m:t>l</m:t>
        </m:r>
        <m:r>
          <m:t>l</m:t>
        </m:r>
        <m:r>
          <m:rPr>
            <m:sty m:val="p"/>
          </m:rPr>
          <m:t>−</m:t>
        </m:r>
        <m:r>
          <m:t>y</m:t>
        </m:r>
        <m:r>
          <m:t>e</m:t>
        </m:r>
        <m:r>
          <m:t>a</m:t>
        </m:r>
        <m:r>
          <m:t>r</m:t>
        </m:r>
        <m:r>
          <m:t>o</m:t>
        </m:r>
        <m:r>
          <m:t>r</m:t>
        </m:r>
        <m:r>
          <m:t>g</m:t>
        </m:r>
        <m:r>
          <m:t>a</m:t>
        </m:r>
        <m:r>
          <m:t>n</m:t>
        </m:r>
        <m:r>
          <m:t>i</m:t>
        </m:r>
        <m:r>
          <m:t>c</m:t>
        </m:r>
        <m:r>
          <m:rPr>
            <m:sty m:val="p"/>
          </m:rPr>
          <m:t>−</m:t>
        </m:r>
        <m:r>
          <m:t>s</m:t>
        </m:r>
        <m:r>
          <m:t>a</m:t>
        </m:r>
        <m:r>
          <m:t>l</m:t>
        </m:r>
        <m:r>
          <m:t>e</m:t>
        </m:r>
        <m:r>
          <m:t>s</m:t>
        </m:r>
        <m:r>
          <m:t>g</m:t>
        </m:r>
        <m:r>
          <m:t>u</m:t>
        </m:r>
        <m:r>
          <m:t>i</m:t>
        </m:r>
        <m:r>
          <m:t>d</m:t>
        </m:r>
        <m:r>
          <m:t>a</m:t>
        </m:r>
        <m:r>
          <m:t>n</m:t>
        </m:r>
        <m:r>
          <m:t>c</m:t>
        </m:r>
        <m:r>
          <m:t>e</m:t>
        </m:r>
        <m:r>
          <m:t>t</m:t>
        </m:r>
        <m:r>
          <m:t>o</m:t>
        </m:r>
        <m:r>
          <m:rPr>
            <m:sty m:val="p"/>
          </m:rPr>
          <m:t>*</m:t>
        </m:r>
        <m:r>
          <m:rPr>
            <m:sty m:val="p"/>
          </m:rPr>
          <m:t>*</m:t>
        </m:r>
        <m:r>
          <m:t>5</m:t>
        </m:r>
      </m:oMath>
      <w:r>
        <w:rPr>
          <w:b/>
          <w:bCs/>
        </w:rPr>
        <w:t xml:space="preserve">12.50–$13.10</w:t>
      </w:r>
      <w:r>
        <w:t xml:space="preserve">. The core debate for this report is therefore less about whether demand has improved and more about whether Rockwell can</w:t>
      </w:r>
      <w:r>
        <w:t xml:space="preserve"> </w:t>
      </w:r>
      <w:r>
        <w:rPr>
          <w:b/>
          <w:bCs/>
        </w:rPr>
        <w:t xml:space="preserve">sustain its exceptional conversion, preserve the higher full-year outlook, and demonstrate that demand is broadening beyond a few high-growth verticals.</w:t>
      </w:r>
      <w:r>
        <w:t xml:space="preserve"> </w:t>
      </w:r>
      <w:r>
        <w:t xml:space="preserve">(</w:t>
      </w:r>
      <w:hyperlink r:id="rId10">
        <w:r>
          <w:rPr>
            <w:rStyle w:val="Hyperlink"/>
          </w:rPr>
          <w:t xml:space="preserve">rockwellautomation.com</w:t>
        </w:r>
      </w:hyperlink>
      <w:r>
        <w:t xml:space="preserve">)</w:t>
      </w:r>
    </w:p>
    <w:p>
      <w:pPr>
        <w:pStyle w:val="BodyText"/>
      </w:pPr>
      <w:r>
        <w:t xml:space="preserve">Management has already provided unusually specific Q3 directional framing:</w:t>
      </w:r>
    </w:p>
    <w:p>
      <w:pPr>
        <w:pStyle w:val="Compact"/>
        <w:numPr>
          <w:ilvl w:val="0"/>
          <w:numId w:val="1001"/>
        </w:numPr>
      </w:pPr>
      <w:r>
        <w:rPr>
          <w:b/>
          <w:bCs/>
        </w:rPr>
        <w:t xml:space="preserve">Reported sales:</w:t>
      </w:r>
      <w:r>
        <w:t xml:space="preserve"> </w:t>
      </w:r>
      <w:r>
        <w:t xml:space="preserve">roughly flat sequentially;</w:t>
      </w:r>
    </w:p>
    <w:p>
      <w:pPr>
        <w:pStyle w:val="Compact"/>
        <w:numPr>
          <w:ilvl w:val="0"/>
          <w:numId w:val="1001"/>
        </w:numPr>
      </w:pPr>
      <w:r>
        <w:rPr>
          <w:b/>
          <w:bCs/>
        </w:rPr>
        <w:t xml:space="preserve">Enterprise operating margin:</w:t>
      </w:r>
      <w:r>
        <w:t xml:space="preserve"> </w:t>
      </w:r>
      <w:r>
        <w:t xml:space="preserve">roughly flat sequentially;</w:t>
      </w:r>
    </w:p>
    <w:p>
      <w:pPr>
        <w:pStyle w:val="Compact"/>
        <w:numPr>
          <w:ilvl w:val="0"/>
          <w:numId w:val="1001"/>
        </w:numPr>
      </w:pPr>
      <w:r>
        <w:rPr>
          <w:b/>
          <w:bCs/>
        </w:rPr>
        <w:t xml:space="preserve">Adjusted EPS:</w:t>
      </w:r>
      <w:r>
        <w:t xml:space="preserve"> </w:t>
      </w:r>
      <w:r>
        <w:t xml:space="preserve">about</w:t>
      </w:r>
      <w:r>
        <w:t xml:space="preserve"> </w:t>
      </w:r>
      <m:oMath>
        <m:r>
          <m:t>0.05</m:t>
        </m:r>
        <m:r>
          <m:t>h</m:t>
        </m:r>
        <m:r>
          <m:t>i</m:t>
        </m:r>
        <m:r>
          <m:t>g</m:t>
        </m:r>
        <m:r>
          <m:t>h</m:t>
        </m:r>
        <m:r>
          <m:t>e</m:t>
        </m:r>
        <m:r>
          <m:t>r</m:t>
        </m:r>
        <m:r>
          <m:t>s</m:t>
        </m:r>
        <m:r>
          <m:t>e</m:t>
        </m:r>
        <m:r>
          <m:t>q</m:t>
        </m:r>
        <m:r>
          <m:t>u</m:t>
        </m:r>
        <m:r>
          <m:t>e</m:t>
        </m:r>
        <m:r>
          <m:t>n</m:t>
        </m:r>
        <m:r>
          <m:t>t</m:t>
        </m:r>
        <m:r>
          <m:t>i</m:t>
        </m:r>
        <m:r>
          <m:t>a</m:t>
        </m:r>
        <m:r>
          <m:t>l</m:t>
        </m:r>
        <m:r>
          <m:t>l</m:t>
        </m:r>
        <m:r>
          <m:t>y</m:t>
        </m:r>
        <m:r>
          <m:rPr>
            <m:sty m:val="p"/>
          </m:rPr>
          <m:t>*</m:t>
        </m:r>
        <m:r>
          <m:rPr>
            <m:sty m:val="p"/>
          </m:rPr>
          <m:t>*</m:t>
        </m:r>
        <m:r>
          <m:rPr>
            <m:sty m:val="p"/>
          </m:rPr>
          <m:t>,</m:t>
        </m:r>
        <m:r>
          <m:t>i</m:t>
        </m:r>
        <m:r>
          <m:t>m</m:t>
        </m:r>
        <m:r>
          <m:t>p</m:t>
        </m:r>
        <m:r>
          <m:t>l</m:t>
        </m:r>
        <m:r>
          <m:t>y</m:t>
        </m:r>
        <m:r>
          <m:t>i</m:t>
        </m:r>
        <m:r>
          <m:t>n</m:t>
        </m:r>
        <m:r>
          <m:t>g</m:t>
        </m:r>
        <m:r>
          <m:t>r</m:t>
        </m:r>
        <m:r>
          <m:t>o</m:t>
        </m:r>
        <m:r>
          <m:t>u</m:t>
        </m:r>
        <m:r>
          <m:t>g</m:t>
        </m:r>
        <m:r>
          <m:t>h</m:t>
        </m:r>
        <m:r>
          <m:t>l</m:t>
        </m:r>
        <m:r>
          <m:t>y</m:t>
        </m:r>
        <m:r>
          <m:rPr>
            <m:sty m:val="p"/>
          </m:rPr>
          <m:t>*</m:t>
        </m:r>
        <m:r>
          <m:rPr>
            <m:sty m:val="p"/>
          </m:rPr>
          <m:t>*</m:t>
        </m:r>
      </m:oMath>
      <w:r>
        <w:rPr>
          <w:b/>
          <w:bCs/>
        </w:rPr>
        <w:t xml:space="preserve">3.35</w:t>
      </w:r>
      <w:r>
        <w:t xml:space="preserve">;</w:t>
      </w:r>
    </w:p>
    <w:p>
      <w:pPr>
        <w:pStyle w:val="Compact"/>
        <w:numPr>
          <w:ilvl w:val="0"/>
          <w:numId w:val="1001"/>
        </w:numPr>
      </w:pPr>
      <w:r>
        <w:rPr>
          <w:b/>
          <w:bCs/>
        </w:rPr>
        <w:t xml:space="preserve">Segment margins:</w:t>
      </w:r>
      <w:r>
        <w:t xml:space="preserve"> </w:t>
      </w:r>
      <w:r>
        <w:t xml:space="preserve">modest sequential improvement in Intelligent Devices and Lifecycle Services, offset by a sequential decline in Software &amp; Control.</w:t>
      </w:r>
    </w:p>
    <w:p>
      <w:pPr>
        <w:pStyle w:val="FirstParagraph"/>
      </w:pPr>
      <w:r>
        <w:t xml:space="preserve">At the implied $3.35 adjusted EPS, Q3 would represent approximately</w:t>
      </w:r>
      <w:r>
        <w:t xml:space="preserve"> </w:t>
      </w:r>
      <w:r>
        <w:rPr>
          <w:b/>
          <w:bCs/>
        </w:rPr>
        <w:t xml:space="preserve">19% year-over-year growth</w:t>
      </w:r>
      <w:r>
        <w:t xml:space="preserve"> </w:t>
      </w:r>
      <w:r>
        <w:t xml:space="preserve">versus FY25 Q3 adjusted EPS of $2.82. If sales are near Q2’s $2.239 billion, reported growth would be approximately</w:t>
      </w:r>
      <w:r>
        <w:t xml:space="preserve"> </w:t>
      </w:r>
      <w:r>
        <w:rPr>
          <w:b/>
          <w:bCs/>
        </w:rPr>
        <w:t xml:space="preserve">4%–5% year over year</w:t>
      </w:r>
      <w:r>
        <w:t xml:space="preserve"> </w:t>
      </w:r>
      <w:r>
        <w:t xml:space="preserve">against FY25 Q3 sales of $2.144 billion.</w:t>
      </w:r>
    </w:p>
    <w:bookmarkEnd w:id="11"/>
    <w:bookmarkStart w:id="16" w:name="what-matters-most"/>
    <w:p>
      <w:pPr>
        <w:pStyle w:val="Heading2"/>
      </w:pPr>
      <w:r>
        <w:t xml:space="preserve">What matters most</w:t>
      </w:r>
    </w:p>
    <w:bookmarkStart w:id="12" w:name="Xdfde5e7200e9eb547f05a8efafea6367b1b378a"/>
    <w:p>
      <w:pPr>
        <w:pStyle w:val="Heading3"/>
      </w:pPr>
      <w:r>
        <w:t xml:space="preserve">1. Can demand remain broad enough to support the raised FY26 guide?</w:t>
      </w:r>
    </w:p>
    <w:p>
      <w:pPr>
        <w:pStyle w:val="FirstParagraph"/>
      </w:pPr>
      <w:r>
        <w:t xml:space="preserve">Q2’s strength extended well beyond one product line: management cited improving demand in warehouse automation, data centers, semiconductors, energy, automotive, food and beverage, and life sciences. Key Q2 data points included:</w:t>
      </w:r>
    </w:p>
    <w:p>
      <w:pPr>
        <w:pStyle w:val="Compact"/>
        <w:numPr>
          <w:ilvl w:val="0"/>
          <w:numId w:val="1002"/>
        </w:numPr>
      </w:pPr>
      <w:r>
        <w:rPr>
          <w:b/>
          <w:bCs/>
        </w:rPr>
        <w:t xml:space="preserve">Data-center sales more than doubled year over year</w:t>
      </w:r>
      <w:r>
        <w:t xml:space="preserve">, albeit from a low-single-digit percentage of company sales;</w:t>
      </w:r>
    </w:p>
    <w:p>
      <w:pPr>
        <w:pStyle w:val="Compact"/>
        <w:numPr>
          <w:ilvl w:val="0"/>
          <w:numId w:val="1002"/>
        </w:numPr>
      </w:pPr>
      <w:r>
        <w:rPr>
          <w:b/>
          <w:bCs/>
        </w:rPr>
        <w:t xml:space="preserve">Logix</w:t>
      </w:r>
      <w:r>
        <w:t xml:space="preserve"> </w:t>
      </w:r>
      <w:r>
        <w:t xml:space="preserve">sales grew more than 20%;</w:t>
      </w:r>
    </w:p>
    <w:p>
      <w:pPr>
        <w:pStyle w:val="Compact"/>
        <w:numPr>
          <w:ilvl w:val="0"/>
          <w:numId w:val="1002"/>
        </w:numPr>
      </w:pPr>
      <w:r>
        <w:t xml:space="preserve">E-commerce and warehouse automation grew more than 30%;</w:t>
      </w:r>
    </w:p>
    <w:p>
      <w:pPr>
        <w:pStyle w:val="Compact"/>
        <w:numPr>
          <w:ilvl w:val="0"/>
          <w:numId w:val="1002"/>
        </w:numPr>
      </w:pPr>
      <w:r>
        <w:t xml:space="preserve">Semiconductor sales rose high teens;</w:t>
      </w:r>
    </w:p>
    <w:p>
      <w:pPr>
        <w:pStyle w:val="Compact"/>
        <w:numPr>
          <w:ilvl w:val="0"/>
          <w:numId w:val="1002"/>
        </w:numPr>
      </w:pPr>
      <w:r>
        <w:t xml:space="preserve">Energy sales increased mid-single digits;</w:t>
      </w:r>
    </w:p>
    <w:p>
      <w:pPr>
        <w:pStyle w:val="Compact"/>
        <w:numPr>
          <w:ilvl w:val="0"/>
          <w:numId w:val="1002"/>
        </w:numPr>
      </w:pPr>
      <w:r>
        <w:t xml:space="preserve">Company book-to-bill was modestly above its historical 0.95–1.10 corridor. (</w:t>
      </w:r>
      <w:hyperlink r:id="rId10">
        <w:r>
          <w:rPr>
            <w:rStyle w:val="Hyperlink"/>
          </w:rPr>
          <w:t xml:space="preserve">rockwellautomation.com</w:t>
        </w:r>
      </w:hyperlink>
      <w:r>
        <w:t xml:space="preserve">)</w:t>
      </w:r>
    </w:p>
    <w:p>
      <w:pPr>
        <w:pStyle w:val="FirstParagraph"/>
      </w:pPr>
      <w:r>
        <w:t xml:space="preserve">The key Q3 question is whether these trends held through the June quarter—especially in data centers, semiconductors and warehouse automation—or whether the Q2 outperformance reflected a temporary burst of shipments.</w:t>
      </w:r>
    </w:p>
    <w:p>
      <w:pPr>
        <w:pStyle w:val="BodyText"/>
      </w:pPr>
      <w:r>
        <w:rPr>
          <w:b/>
          <w:bCs/>
        </w:rPr>
        <w:t xml:space="preserve">Investor read-through:</w:t>
      </w:r>
      <w:r>
        <w:t xml:space="preserve"> </w:t>
      </w:r>
      <w:r>
        <w:t xml:space="preserve">Confirmation of broad, orderly demand and book-to-bill remaining within or above the normal range would reinforce the case that Rockwell is participating in a genuine industrial-automation recovery rather than simply benefiting from easier comparisons and price realization.</w:t>
      </w:r>
    </w:p>
    <w:bookmarkEnd w:id="12"/>
    <w:bookmarkStart w:id="13" w:name="X299cb7a2e766a8b078d75ed2cad65d453cbfaae"/>
    <w:p>
      <w:pPr>
        <w:pStyle w:val="Heading3"/>
      </w:pPr>
      <w:r>
        <w:t xml:space="preserve">2. Intelligent Devices needs to carry the near-term top line</w:t>
      </w:r>
    </w:p>
    <w:p>
      <w:pPr>
        <w:pStyle w:val="FirstParagraph"/>
      </w:pPr>
      <w:r>
        <w:t xml:space="preserve">Management indicated that Q3’s sequential growth is expected to be concentrated in</w:t>
      </w:r>
      <w:r>
        <w:t xml:space="preserve"> </w:t>
      </w:r>
      <w:r>
        <w:rPr>
          <w:b/>
          <w:bCs/>
        </w:rPr>
        <w:t xml:space="preserve">Intelligent Devices</w:t>
      </w:r>
      <w:r>
        <w:t xml:space="preserve">, even after a roughly</w:t>
      </w:r>
      <w:r>
        <w:t xml:space="preserve"> </w:t>
      </w:r>
      <w:r>
        <w:rPr>
          <w:b/>
          <w:bCs/>
        </w:rPr>
        <w:t xml:space="preserve">$50 million sequential revenue loss</w:t>
      </w:r>
      <w:r>
        <w:t xml:space="preserve"> </w:t>
      </w:r>
      <w:r>
        <w:t xml:space="preserve">from the completed Sensia joint-venture dissolution. That puts a premium on continued momentum in core automation hardware: controllers, motion, I/O, safety, sensing, drives, and autonomous mobile robots.</w:t>
      </w:r>
    </w:p>
    <w:p>
      <w:pPr>
        <w:pStyle w:val="BodyText"/>
      </w:pPr>
      <w:r>
        <w:t xml:space="preserve">In Q2, Intelligent Devices grew</w:t>
      </w:r>
      <w:r>
        <w:t xml:space="preserve"> </w:t>
      </w:r>
      <w:r>
        <w:rPr>
          <w:b/>
          <w:bCs/>
        </w:rPr>
        <w:t xml:space="preserve">9% organically</w:t>
      </w:r>
      <w:r>
        <w:t xml:space="preserve"> </w:t>
      </w:r>
      <w:r>
        <w:t xml:space="preserve">and expanded segment margin</w:t>
      </w:r>
      <w:r>
        <w:t xml:space="preserve"> </w:t>
      </w:r>
      <w:r>
        <w:rPr>
          <w:b/>
          <w:bCs/>
        </w:rPr>
        <w:t xml:space="preserve">320 basis points</w:t>
      </w:r>
      <w:r>
        <w:t xml:space="preserve"> </w:t>
      </w:r>
      <w:r>
        <w:t xml:space="preserve">year over year to</w:t>
      </w:r>
      <w:r>
        <w:t xml:space="preserve"> </w:t>
      </w:r>
      <w:r>
        <w:rPr>
          <w:b/>
          <w:bCs/>
        </w:rPr>
        <w:t xml:space="preserve">20.9%</w:t>
      </w:r>
      <w:r>
        <w:t xml:space="preserve">. For Q3, investors should focus on whether volume and mix can offset component inflation and whether the modest expected margin expansion is achieved. (</w:t>
      </w:r>
      <w:hyperlink r:id="rId10">
        <w:r>
          <w:rPr>
            <w:rStyle w:val="Hyperlink"/>
          </w:rPr>
          <w:t xml:space="preserve">rockwellautomation.com</w:t>
        </w:r>
      </w:hyperlink>
      <w:r>
        <w:t xml:space="preserve">)</w:t>
      </w:r>
    </w:p>
    <w:bookmarkEnd w:id="13"/>
    <w:bookmarkStart w:id="14" w:name="X0cc2b0dcab28db83ce2bb89a57b5b7fbbff252e"/>
    <w:p>
      <w:pPr>
        <w:pStyle w:val="Heading3"/>
      </w:pPr>
      <w:r>
        <w:t xml:space="preserve">3. Software &amp; Control margins are the key quality-of-earnings variable</w:t>
      </w:r>
    </w:p>
    <w:p>
      <w:pPr>
        <w:pStyle w:val="FirstParagraph"/>
      </w:pPr>
      <w:r>
        <w:t xml:space="preserve">Software &amp; Control was the standout Q2 segment:</w:t>
      </w:r>
      <w:r>
        <w:t xml:space="preserve"> </w:t>
      </w:r>
      <w:r>
        <w:rPr>
          <w:b/>
          <w:bCs/>
        </w:rPr>
        <w:t xml:space="preserve">17% organic growth</w:t>
      </w:r>
      <w:r>
        <w:t xml:space="preserve"> </w:t>
      </w:r>
      <w:r>
        <w:t xml:space="preserve">and a</w:t>
      </w:r>
      <w:r>
        <w:t xml:space="preserve"> </w:t>
      </w:r>
      <w:r>
        <w:rPr>
          <w:b/>
          <w:bCs/>
        </w:rPr>
        <w:t xml:space="preserve">34.9% segment margin</w:t>
      </w:r>
      <w:r>
        <w:t xml:space="preserve">, supported by Logix demand, software mix, productivity and strong volume conversion. That margin was well above the company’s long-term 31%–34% segment range.</w:t>
      </w:r>
    </w:p>
    <w:p>
      <w:pPr>
        <w:pStyle w:val="BodyText"/>
      </w:pPr>
      <w:r>
        <w:t xml:space="preserve">Management has already warned that Software &amp; Control margin should decline sequentially in Q3. This is not necessarily a negative surprise—the company flagged inflation, higher engineering/development activity, and a return of some spending in the second half—but investors will want to know whether this is a modest normalization or the start of a more material giveback.</w:t>
      </w:r>
    </w:p>
    <w:p>
      <w:pPr>
        <w:pStyle w:val="BodyText"/>
      </w:pPr>
      <w:r>
        <w:rPr>
          <w:b/>
          <w:bCs/>
        </w:rPr>
        <w:t xml:space="preserve">What would be constructive:</w:t>
      </w:r>
      <w:r>
        <w:t xml:space="preserve"> </w:t>
      </w:r>
      <w:r>
        <w:t xml:space="preserve">software ARR remaining high-single-digit or better, continued Logix strength, and a margin outcome that stays solidly within the company’s longer-term range.</w:t>
      </w:r>
    </w:p>
    <w:bookmarkEnd w:id="14"/>
    <w:bookmarkStart w:id="15" w:name="X2b6164c97388609da755b64cfbbbc45b9990629"/>
    <w:p>
      <w:pPr>
        <w:pStyle w:val="Heading3"/>
      </w:pPr>
      <w:r>
        <w:t xml:space="preserve">4. Lifecycle Services remains the weak link, but Sensia changes the optics</w:t>
      </w:r>
    </w:p>
    <w:p>
      <w:pPr>
        <w:pStyle w:val="FirstParagraph"/>
      </w:pPr>
      <w:r>
        <w:t xml:space="preserve">Lifecycle Services declined</w:t>
      </w:r>
      <w:r>
        <w:t xml:space="preserve"> </w:t>
      </w:r>
      <w:r>
        <w:rPr>
          <w:b/>
          <w:bCs/>
        </w:rPr>
        <w:t xml:space="preserve">1% organically</w:t>
      </w:r>
      <w:r>
        <w:t xml:space="preserve"> </w:t>
      </w:r>
      <w:r>
        <w:t xml:space="preserve">in Q2 as customers delayed larger projects and prioritized smaller productivity and modernization initiatives. The segment’s Q2 operating margin was 14.6%, essentially flat year over year. Management expects the Sensia dissolution to reduce Lifecycle Services revenue but to modestly improve its margin profile. (</w:t>
      </w:r>
      <w:hyperlink r:id="rId10">
        <w:r>
          <w:rPr>
            <w:rStyle w:val="Hyperlink"/>
          </w:rPr>
          <w:t xml:space="preserve">rockwellautomation.com</w:t>
        </w:r>
      </w:hyperlink>
      <w:r>
        <w:t xml:space="preserve">)</w:t>
      </w:r>
    </w:p>
    <w:p>
      <w:pPr>
        <w:pStyle w:val="BodyText"/>
      </w:pPr>
      <w:r>
        <w:t xml:space="preserve">This creates an important modeling issue: investors should distinguish between:</w:t>
      </w:r>
    </w:p>
    <w:p>
      <w:pPr>
        <w:pStyle w:val="Compact"/>
        <w:numPr>
          <w:ilvl w:val="0"/>
          <w:numId w:val="1003"/>
        </w:numPr>
      </w:pPr>
      <w:r>
        <w:rPr>
          <w:b/>
          <w:bCs/>
        </w:rPr>
        <w:t xml:space="preserve">reported Lifecycle Services sales</w:t>
      </w:r>
      <w:r>
        <w:t xml:space="preserve">, which are now affected by the divestiture;</w:t>
      </w:r>
    </w:p>
    <w:p>
      <w:pPr>
        <w:pStyle w:val="Compact"/>
        <w:numPr>
          <w:ilvl w:val="0"/>
          <w:numId w:val="1003"/>
        </w:numPr>
      </w:pPr>
      <w:r>
        <w:rPr>
          <w:b/>
          <w:bCs/>
        </w:rPr>
        <w:t xml:space="preserve">underlying service/project demand</w:t>
      </w:r>
      <w:r>
        <w:t xml:space="preserve">, where deferred large projects remain a concern; and</w:t>
      </w:r>
    </w:p>
    <w:p>
      <w:pPr>
        <w:pStyle w:val="Compact"/>
        <w:numPr>
          <w:ilvl w:val="0"/>
          <w:numId w:val="1003"/>
        </w:numPr>
      </w:pPr>
      <w:r>
        <w:rPr>
          <w:b/>
          <w:bCs/>
        </w:rPr>
        <w:t xml:space="preserve">margin improvement</w:t>
      </w:r>
      <w:r>
        <w:t xml:space="preserve">, which may partly reflect portfolio composition rather than a sharp underlying operational inflection.</w:t>
      </w:r>
    </w:p>
    <w:p>
      <w:pPr>
        <w:pStyle w:val="FirstParagraph"/>
      </w:pPr>
      <w:r>
        <w:t xml:space="preserve">The most useful Q3 evidence would be stronger Lifecycle Services book-to-bill, commentary on deferred-project conversion, and stable-to-improving recurring-services growth.</w:t>
      </w:r>
    </w:p>
    <w:bookmarkEnd w:id="15"/>
    <w:bookmarkEnd w:id="16"/>
    <w:bookmarkStart w:id="17" w:name="X8058d94468f75b9a8e376740266b563367ed435"/>
    <w:p>
      <w:pPr>
        <w:pStyle w:val="Heading2"/>
      </w:pPr>
      <w:r>
        <w:t xml:space="preserve">Guidance: the bar is preservation, with upside optionality</w:t>
      </w:r>
    </w:p>
    <w:p>
      <w:pPr>
        <w:pStyle w:val="FirstParagraph"/>
      </w:pPr>
      <w:r>
        <w:t xml:space="preserve">At the FY26 midpoint, Rockwell guides to approximately</w:t>
      </w:r>
      <w:r>
        <w:t xml:space="preserve"> </w:t>
      </w:r>
      <m:oMath>
        <m:r>
          <m:t>8.9</m:t>
        </m:r>
        <m:r>
          <m:t>b</m:t>
        </m:r>
        <m:r>
          <m:t>i</m:t>
        </m:r>
        <m:r>
          <m:t>l</m:t>
        </m:r>
        <m:r>
          <m:t>l</m:t>
        </m:r>
        <m:r>
          <m:t>i</m:t>
        </m:r>
        <m:r>
          <m:t>o</m:t>
        </m:r>
        <m:r>
          <m:t>n</m:t>
        </m:r>
        <m:r>
          <m:t>o</m:t>
        </m:r>
        <m:r>
          <m:t>f</m:t>
        </m:r>
        <m:r>
          <m:t>s</m:t>
        </m:r>
        <m:r>
          <m:t>a</m:t>
        </m:r>
        <m:r>
          <m:t>l</m:t>
        </m:r>
        <m:r>
          <m:t>e</m:t>
        </m:r>
        <m:r>
          <m:t>s</m:t>
        </m:r>
        <m:r>
          <m:rPr>
            <m:sty m:val="p"/>
          </m:rPr>
          <m:t>*</m:t>
        </m:r>
        <m:r>
          <m:rPr>
            <m:sty m:val="p"/>
          </m:rPr>
          <m:t>*</m:t>
        </m:r>
        <m:r>
          <m:t>a</m:t>
        </m:r>
        <m:r>
          <m:t>n</m:t>
        </m:r>
        <m:r>
          <m:t>d</m:t>
        </m:r>
        <m:r>
          <m:rPr>
            <m:sty m:val="p"/>
          </m:rPr>
          <m:t>*</m:t>
        </m:r>
        <m:r>
          <m:rPr>
            <m:sty m:val="p"/>
          </m:rPr>
          <m:t>*</m:t>
        </m:r>
      </m:oMath>
      <w:r>
        <w:rPr>
          <w:b/>
          <w:bCs/>
        </w:rPr>
        <w:t xml:space="preserve">12.80 of adjusted EPS</w:t>
      </w:r>
      <w:r>
        <w:t xml:space="preserve">. After producing $6.05 of adjusted EPS in the first half, the company needs</w:t>
      </w:r>
      <w:r>
        <w:t xml:space="preserve"> </w:t>
      </w:r>
      <m:oMath>
        <m:r>
          <m:t>6.45</m:t>
        </m:r>
        <m:r>
          <m:rPr>
            <m:sty m:val="p"/>
          </m:rPr>
          <m:t>–</m:t>
        </m:r>
      </m:oMath>
      <w:r>
        <w:t xml:space="preserve">7.05 in the second half to achieve its full-year range. Management’s Q3 EPS framework of about $3.35 means the company has retained a meaningful Q4 weighting—consistent with normal seasonal patterns, but also leaving less room for a demand or margin stumble. (</w:t>
      </w:r>
      <w:hyperlink r:id="rId10">
        <w:r>
          <w:rPr>
            <w:rStyle w:val="Hyperlink"/>
          </w:rPr>
          <w:t xml:space="preserve">rockwellautomation.com</w:t>
        </w:r>
      </w:hyperlink>
      <w:r>
        <w:t xml:space="preserve">)</w:t>
      </w:r>
    </w:p>
    <w:p>
      <w:pPr>
        <w:pStyle w:val="BodyText"/>
      </w:pPr>
      <w:r>
        <w:t xml:space="preserve">The most probable constructive outcome is therefore not necessarily another major guidance increase. It is:</w:t>
      </w:r>
    </w:p>
    <w:p>
      <w:pPr>
        <w:pStyle w:val="Compact"/>
        <w:numPr>
          <w:ilvl w:val="0"/>
          <w:numId w:val="1004"/>
        </w:numPr>
      </w:pPr>
      <w:r>
        <w:t xml:space="preserve">delivery near or above the embedded Q3 EPS framework;</w:t>
      </w:r>
    </w:p>
    <w:p>
      <w:pPr>
        <w:pStyle w:val="Compact"/>
        <w:numPr>
          <w:ilvl w:val="0"/>
          <w:numId w:val="1004"/>
        </w:numPr>
      </w:pPr>
      <w:r>
        <w:t xml:space="preserve">reaffirmation of the</w:t>
      </w:r>
      <w:r>
        <w:t xml:space="preserve"> </w:t>
      </w:r>
      <w:r>
        <w:rPr>
          <w:b/>
          <w:bCs/>
        </w:rPr>
        <w:t xml:space="preserve">5%–9% organic-sales</w:t>
      </w:r>
      <w:r>
        <w:t xml:space="preserve"> </w:t>
      </w:r>
      <w:r>
        <w:t xml:space="preserve">and</w:t>
      </w:r>
      <w:r>
        <w:t xml:space="preserve"> </w:t>
      </w:r>
      <m:oMath>
        <m:r>
          <m:t>12.50</m:t>
        </m:r>
        <m:r>
          <m:rPr>
            <m:sty m:val="p"/>
          </m:rPr>
          <m:t>–</m:t>
        </m:r>
      </m:oMath>
      <w:r>
        <w:rPr>
          <w:b/>
          <w:bCs/>
        </w:rPr>
        <w:t xml:space="preserve">13.10 adjusted-EPS</w:t>
      </w:r>
      <w:r>
        <w:t xml:space="preserve"> </w:t>
      </w:r>
      <w:r>
        <w:t xml:space="preserve">ranges;</w:t>
      </w:r>
    </w:p>
    <w:p>
      <w:pPr>
        <w:pStyle w:val="Compact"/>
        <w:numPr>
          <w:ilvl w:val="0"/>
          <w:numId w:val="1004"/>
        </w:numPr>
      </w:pPr>
      <w:r>
        <w:t xml:space="preserve">credible commentary that Q4 seasonality, pricing, component costs, and mix remain manageable.</w:t>
      </w:r>
    </w:p>
    <w:p>
      <w:pPr>
        <w:pStyle w:val="FirstParagraph"/>
      </w:pPr>
      <w:r>
        <w:t xml:space="preserve">A raise would be more powerful if it is driven by</w:t>
      </w:r>
      <w:r>
        <w:t xml:space="preserve"> </w:t>
      </w:r>
      <w:r>
        <w:rPr>
          <w:b/>
          <w:bCs/>
        </w:rPr>
        <w:t xml:space="preserve">underlying demand and margin durability</w:t>
      </w:r>
      <w:r>
        <w:t xml:space="preserve">, rather than just stronger currency or the timing of tax, buybacks, or shipments.</w:t>
      </w:r>
    </w:p>
    <w:bookmarkEnd w:id="17"/>
    <w:bookmarkStart w:id="18" w:name="risks-heading-into-the-call"/>
    <w:p>
      <w:pPr>
        <w:pStyle w:val="Heading2"/>
      </w:pPr>
      <w:r>
        <w:t xml:space="preserve">Risks heading into the call</w:t>
      </w:r>
    </w:p>
    <w:p>
      <w:pPr>
        <w:pStyle w:val="Compact"/>
        <w:numPr>
          <w:ilvl w:val="0"/>
          <w:numId w:val="1005"/>
        </w:numPr>
      </w:pPr>
      <w:r>
        <w:rPr>
          <w:b/>
          <w:bCs/>
        </w:rPr>
        <w:t xml:space="preserve">High conversion expectations.</w:t>
      </w:r>
      <w:r>
        <w:t xml:space="preserve"> </w:t>
      </w:r>
      <w:r>
        <w:t xml:space="preserve">Q2 featured low-50% incremental margins and unusually strong execution. The company itself has guided to some second-half pressure from memory, transportation, supplier inflation, product-development spending, and normal mix.</w:t>
      </w:r>
    </w:p>
    <w:p>
      <w:pPr>
        <w:pStyle w:val="Compact"/>
        <w:numPr>
          <w:ilvl w:val="0"/>
          <w:numId w:val="1005"/>
        </w:numPr>
      </w:pPr>
      <w:r>
        <w:rPr>
          <w:b/>
          <w:bCs/>
        </w:rPr>
        <w:t xml:space="preserve">Tariff and price/cost execution.</w:t>
      </w:r>
      <w:r>
        <w:t xml:space="preserve"> </w:t>
      </w:r>
      <w:r>
        <w:t xml:space="preserve">Rockwell previously expected pricing to fully offset tariff costs for FY26, but said timing would not align perfectly by quarter. Any indication that cost recovery is slipping would matter disproportionately to sentiment.</w:t>
      </w:r>
    </w:p>
    <w:p>
      <w:pPr>
        <w:pStyle w:val="Compact"/>
        <w:numPr>
          <w:ilvl w:val="0"/>
          <w:numId w:val="1005"/>
        </w:numPr>
      </w:pPr>
      <w:r>
        <w:rPr>
          <w:b/>
          <w:bCs/>
        </w:rPr>
        <w:t xml:space="preserve">Delayed large projects.</w:t>
      </w:r>
      <w:r>
        <w:t xml:space="preserve"> </w:t>
      </w:r>
      <w:r>
        <w:t xml:space="preserve">Automotive and consumer packaged goods have remained more cautious than data centers, semiconductor, energy, and warehouse automation. A further delay in larger capital projects would challenge the “broadening recovery” thesis.</w:t>
      </w:r>
    </w:p>
    <w:p>
      <w:pPr>
        <w:pStyle w:val="Compact"/>
        <w:numPr>
          <w:ilvl w:val="0"/>
          <w:numId w:val="1005"/>
        </w:numPr>
      </w:pPr>
      <w:r>
        <w:rPr>
          <w:b/>
          <w:bCs/>
        </w:rPr>
        <w:t xml:space="preserve">Data-center expectations.</w:t>
      </w:r>
      <w:r>
        <w:t xml:space="preserve"> </w:t>
      </w:r>
      <w:r>
        <w:t xml:space="preserve">This is an increasingly important growth narrative, but management has characterized it as low single digits of revenue. Investors should avoid extrapolating triple-digit growth rates indefinitely from a still-modest base.</w:t>
      </w:r>
    </w:p>
    <w:p>
      <w:pPr>
        <w:pStyle w:val="Compact"/>
        <w:numPr>
          <w:ilvl w:val="0"/>
          <w:numId w:val="1005"/>
        </w:numPr>
      </w:pPr>
      <w:r>
        <w:rPr>
          <w:b/>
          <w:bCs/>
        </w:rPr>
        <w:t xml:space="preserve">Sensia comparability.</w:t>
      </w:r>
      <w:r>
        <w:t xml:space="preserve"> </w:t>
      </w:r>
      <w:r>
        <w:t xml:space="preserve">The April 1 dissolution changes reported revenue and segment mix. Clean organic comparisons and underlying order trends are more informative than headline Lifecycle Services growth alone.</w:t>
      </w:r>
    </w:p>
    <w:bookmarkEnd w:id="18"/>
    <w:bookmarkStart w:id="19" w:name="share-price-and-expectations-backdrop"/>
    <w:p>
      <w:pPr>
        <w:pStyle w:val="Heading2"/>
      </w:pPr>
      <w:r>
        <w:t xml:space="preserve">Share-price and expectations backdrop</w:t>
      </w:r>
    </w:p>
    <w:p>
      <w:pPr>
        <w:pStyle w:val="FirstParagraph"/>
      </w:pPr>
      <w:r>
        <w:t xml:space="preserve">ROK closed at</w:t>
      </w:r>
      <w:r>
        <w:t xml:space="preserve"> </w:t>
      </w:r>
      <w:r>
        <w:rPr>
          <w:b/>
          <w:bCs/>
        </w:rPr>
        <w:t xml:space="preserve">$481.02 on August 3</w:t>
      </w:r>
      <w:r>
        <w:t xml:space="preserve">, up approximately</w:t>
      </w:r>
      <w:r>
        <w:t xml:space="preserve"> </w:t>
      </w:r>
      <w:r>
        <w:rPr>
          <w:b/>
          <w:bCs/>
        </w:rPr>
        <w:t xml:space="preserve">10.3%</w:t>
      </w:r>
      <w:r>
        <w:t xml:space="preserve"> </w:t>
      </w:r>
      <w:r>
        <w:t xml:space="preserve">since the May 5 Q2 earnings release and about</w:t>
      </w:r>
      <w:r>
        <w:t xml:space="preserve"> </w:t>
      </w:r>
      <w:r>
        <w:rPr>
          <w:b/>
          <w:bCs/>
        </w:rPr>
        <w:t xml:space="preserve">20.2%</w:t>
      </w:r>
      <w:r>
        <w:t xml:space="preserve"> </w:t>
      </w:r>
      <w:r>
        <w:t xml:space="preserve">from the May 4 pre-earnings close. That performance suggests the market has already recognized the stronger demand and margin narrative; a simple beat may not be enough without confirmation that the FY26 earnings power is durable.</w:t>
      </w:r>
    </w:p>
    <w:bookmarkEnd w:id="19"/>
    <w:bookmarkStart w:id="20" w:name="bottom-line"/>
    <w:p>
      <w:pPr>
        <w:pStyle w:val="Heading2"/>
      </w:pPr>
      <w:r>
        <w:t xml:space="preserve">Bottom line</w:t>
      </w:r>
    </w:p>
    <w:p>
      <w:pPr>
        <w:pStyle w:val="FirstParagraph"/>
      </w:pPr>
      <w:r>
        <w:rPr>
          <w:b/>
          <w:bCs/>
        </w:rPr>
        <w:t xml:space="preserve">The earnings setup is favorable fundamentally but less forgiving from an expectations standpoint.</w:t>
      </w:r>
      <w:r>
        <w:t xml:space="preserve"> </w:t>
      </w:r>
      <w:r>
        <w:t xml:space="preserve">Rockwell has a clear embedded Q3 framework—flat sequential sales, flat enterprise margin, and roughly $3.35 adjusted EPS. Meeting or modestly exceeding those markers while preserving the raised full-year outlook should support the recovery narrative.</w:t>
      </w:r>
    </w:p>
    <w:p>
      <w:pPr>
        <w:pStyle w:val="BodyText"/>
      </w:pPr>
      <w:r>
        <w:t xml:space="preserve">The factors most likely to drive a positive reaction are:</w:t>
      </w:r>
    </w:p>
    <w:p>
      <w:pPr>
        <w:pStyle w:val="Compact"/>
        <w:numPr>
          <w:ilvl w:val="0"/>
          <w:numId w:val="1006"/>
        </w:numPr>
      </w:pPr>
      <w:r>
        <w:t xml:space="preserve">sustained double-digit growth in Logix and Software &amp; Control;</w:t>
      </w:r>
    </w:p>
    <w:p>
      <w:pPr>
        <w:pStyle w:val="Compact"/>
        <w:numPr>
          <w:ilvl w:val="0"/>
          <w:numId w:val="1006"/>
        </w:numPr>
      </w:pPr>
      <w:r>
        <w:t xml:space="preserve">continued data-center, semiconductor, and warehouse-automation momentum;</w:t>
      </w:r>
    </w:p>
    <w:p>
      <w:pPr>
        <w:pStyle w:val="Compact"/>
        <w:numPr>
          <w:ilvl w:val="0"/>
          <w:numId w:val="1006"/>
        </w:numPr>
      </w:pPr>
      <w:r>
        <w:t xml:space="preserve">a clean Intelligent Devices performance despite cost pressures;</w:t>
      </w:r>
    </w:p>
    <w:p>
      <w:pPr>
        <w:pStyle w:val="Compact"/>
        <w:numPr>
          <w:ilvl w:val="0"/>
          <w:numId w:val="1006"/>
        </w:numPr>
      </w:pPr>
      <w:r>
        <w:t xml:space="preserve">stable book-to-bill and evidence that project deferrals are beginning to convert; and</w:t>
      </w:r>
    </w:p>
    <w:p>
      <w:pPr>
        <w:pStyle w:val="Compact"/>
        <w:numPr>
          <w:ilvl w:val="0"/>
          <w:numId w:val="1006"/>
        </w:numPr>
      </w:pPr>
      <w:r>
        <w:t xml:space="preserve">confidence that second-half margin pressure is contained rather than structural.</w:t>
      </w:r>
    </w:p>
    <w:p>
      <w:pPr>
        <w:pStyle w:val="FirstParagraph"/>
      </w:pPr>
      <w:r>
        <w:t xml:space="preserve">Conversely, softer orders, a larger-than-telegraphed Software &amp; Control margin reset, or more cautious commentary on automotive, consumer packaged goods, and Lifecycle Services would likely outweigh a modest EPS beat.</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www.rockwellautomation.com/content/dam/rockwell-automation/documents/pdf/company/about-us/ir/2026/rok-pepared-remarks-q2-fy26.pdf?utm_source=openai" TargetMode="External" /><Relationship Type="http://schemas.openxmlformats.org/officeDocument/2006/relationships/hyperlink" Id="rId9" Target="https://www.rockwellautomation.com/en-ro/company/news/press-releases/Rockwell-Automation-to-Report-Third-Quarter-Fiscal-2026-Results.html?utm_source=openai" TargetMode="External" /></Relationships>
</file>

<file path=word/_rels/footnotes.xml.rels><?xml version="1.0" encoding="UTF-8"?><Relationships xmlns="http://schemas.openxmlformats.org/package/2006/relationships"><Relationship Type="http://schemas.openxmlformats.org/officeDocument/2006/relationships/hyperlink" Id="rId10" Target="https://www.rockwellautomation.com/content/dam/rockwell-automation/documents/pdf/company/about-us/ir/2026/rok-pepared-remarks-q2-fy26.pdf?utm_source=openai" TargetMode="External" /><Relationship Type="http://schemas.openxmlformats.org/officeDocument/2006/relationships/hyperlink" Id="rId9" Target="https://www.rockwellautomation.com/en-ro/company/news/press-releases/Rockwell-Automation-to-Report-Third-Quarter-Fiscal-2026-Results.html?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2026-08-04T00:38:05Z</dcterms:created>
  <dcterms:modified xsi:type="dcterms:W3CDTF">2026-08-04T00:38:05Z</dcterms:modified>
</cp:coreProperties>
</file>

<file path=docProps/custom.xml><?xml version="1.0" encoding="utf-8"?>
<Properties xmlns="http://schemas.openxmlformats.org/officeDocument/2006/custom-properties" xmlns:vt="http://schemas.openxmlformats.org/officeDocument/2006/docPropsVTypes"/>
</file>