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k-earnings-predictions--2026-08-04"/>
    <w:p>
      <w:pPr>
        <w:pStyle w:val="Heading1"/>
      </w:pPr>
      <w:r>
        <w:t xml:space="preserve">ROK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~$3.50 vs. cons $3.387 (VA, Jul 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S&amp;C Segment Op. Margin (Q3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~33.0% vs. cons 33.80% (VA, Jul 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Growth %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~+7.0% vs. cons +6.32% (VA, Jul 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13.10</m:t>
              </m:r>
              <m:r>
                <m:rPr>
                  <m:sty m:val="p"/>
                </m:rPr>
                <m:t>−</m:t>
              </m:r>
            </m:oMath>
            <w:r>
              <w:t xml:space="preserve">13.20 mid vs. cons $13.038 (VA, latest)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6-9% mid ~7.5% vs. cons ~6.5% (VA, latest)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Op.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~21.5% maintained vs. cons 22.85% (segment metric, not directly comparable)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- S&amp;C margin miss absorbed on Day-1; implied Q4 math in-line with consensus; no estimate cascade expected; modest recovery as revenue beat quality recognized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2026-08-06T02:02:34Z</dcterms:created>
  <dcterms:modified xsi:type="dcterms:W3CDTF">2026-08-06T02:02:34Z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