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Rockwell Automation (ROK) — Q3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Rockwell Automation, Inc.</w:t>
            </w:r>
          </w:p>
        </w:tc>
      </w:tr>
      <w:tr>
        <w:tc>
          <w:tcPr>
            <w:tcW w:type="dxa" w:w="4320"/>
          </w:tcPr>
          <w:p>
            <w:r>
              <w:rPr>
                <w:rFonts w:ascii="Calibri" w:hAnsi="Calibri"/>
                <w:b/>
                <w:sz w:val="22"/>
              </w:rPr>
              <w:t>Ticker</w:t>
            </w:r>
          </w:p>
        </w:tc>
        <w:tc>
          <w:tcPr>
            <w:tcW w:type="dxa" w:w="4320"/>
          </w:tcPr>
          <w:p>
            <w:r>
              <w:rPr>
                <w:rFonts w:ascii="Calibri" w:hAnsi="Calibri"/>
                <w:sz w:val="22"/>
              </w:rPr>
              <w:t>ROK (NYSE)</w:t>
            </w:r>
          </w:p>
        </w:tc>
      </w:tr>
      <w:tr>
        <w:tc>
          <w:tcPr>
            <w:tcW w:type="dxa" w:w="4320"/>
          </w:tcPr>
          <w:p>
            <w:r>
              <w:rPr>
                <w:rFonts w:ascii="Calibri" w:hAnsi="Calibri"/>
                <w:b/>
                <w:sz w:val="22"/>
              </w:rPr>
              <w:t>Upcoming Earnings</w:t>
            </w:r>
          </w:p>
        </w:tc>
        <w:tc>
          <w:tcPr>
            <w:tcW w:type="dxa" w:w="4320"/>
          </w:tcPr>
          <w:p>
            <w:r>
              <w:rPr>
                <w:rFonts w:ascii="Calibri" w:hAnsi="Calibri"/>
                <w:sz w:val="22"/>
              </w:rPr>
              <w:t>~August 6, 2026 (est.) — Fiscal Q3 FY2026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May 5, 2026 (Q2 FY2026)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Used</w:t>
            </w:r>
          </w:p>
        </w:tc>
        <w:tc>
          <w:tcPr>
            <w:tcW w:type="dxa" w:w="4320"/>
          </w:tcPr>
          <w:p>
            <w:r>
              <w:rPr>
                <w:rFonts w:ascii="Calibri" w:hAnsi="Calibri"/>
                <w:sz w:val="22"/>
              </w:rPr>
              <w:t>XLI (iShares U.S. Industrials ETF) — appropriate for ROK's industrial automation sub-sector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Q3 FY2026 is constructive but not a layup — consensus is a moderate bar after the massive Q2 beat, and the single biggest swing factor is whether </w:t>
      </w:r>
      <w:r>
        <w:rPr>
          <w:rFonts w:ascii="Calibri" w:hAnsi="Calibri"/>
          <w:b/>
          <w:color w:val="525866"/>
          <w:sz w:val="22"/>
        </w:rPr>
        <w:t>Software &amp; Control margin holds up against the guided memory-chip cost headwind</w:t>
      </w:r>
      <w:r>
        <w:rPr>
          <w:rFonts w:ascii="Calibri" w:hAnsi="Calibri"/>
          <w:color w:val="525866"/>
          <w:sz w:val="22"/>
        </w:rPr>
        <w:t>.</w:t>
      </w:r>
    </w:p>
    <w:p>
      <w:r>
        <w:rPr>
          <w:rFonts w:ascii="Calibri" w:hAnsi="Calibri"/>
          <w:color w:val="525866"/>
          <w:sz w:val="22"/>
        </w:rPr>
        <w:t xml:space="preserve">ROK heads into Q3 FY2026 off its strongest quarter in recent memory, with Q2 delivering a ~$0.41 EPS beat and a ~9% stock surge on the day. Management guided Q3 adjusted EPS up ~$0.05 sequentially (to roughly $3.35) and total reported sales roughly flat sequentially at ~$2.25B, implying mid-to-high-teens year-over-year EPS growth — a bar that looks achievable given the broadening demand backdrop but is not trivially low. </w:t>
      </w:r>
      <w:r>
        <w:rPr>
          <w:rFonts w:ascii="Calibri" w:hAnsi="Calibri"/>
          <w:b/>
          <w:color w:val="525866"/>
          <w:sz w:val="22"/>
        </w:rPr>
        <w:t>The key risk is margin compression in Software &amp; Control</w:t>
      </w:r>
      <w:r>
        <w:rPr>
          <w:rFonts w:ascii="Calibri" w:hAnsi="Calibri"/>
          <w:color w:val="525866"/>
          <w:sz w:val="22"/>
        </w:rPr>
        <w:t xml:space="preserve">: management explicitly flagged memory chip costs as a double-digit million dollar headwind in H2, and Q3 S&amp;C margins are guided sequentially lower from Q2’s exceptional 34.9% print. On the positive side, </w:t>
      </w:r>
      <w:r>
        <w:rPr>
          <w:rFonts w:ascii="Calibri" w:hAnsi="Calibri"/>
          <w:b/>
          <w:color w:val="525866"/>
          <w:sz w:val="22"/>
        </w:rPr>
        <w:t>Intelligent Devices margins are guided slightly up sequentially</w:t>
      </w:r>
      <w:r>
        <w:rPr>
          <w:rFonts w:ascii="Calibri" w:hAnsi="Calibri"/>
          <w:color w:val="525866"/>
          <w:sz w:val="22"/>
        </w:rPr>
        <w:t xml:space="preserve">, data center demand remains robust (sales more than doubled YoY in Q2), and North America organic growth is tracking ~10% for the full year. Estimate revisions have moved modestly higher since the Q2 print, with consensus EPS for Q3 at ~$3.39 — slightly above management’s implied midpoint — suggesting the street has already baked in a modest beat. The stock has re-rated ~10% since earnings (to ~$480 as of July 31), trading at a premium multiple that prices in continued execution; a miss on S&amp;C margins or any softening in order commentary would be the most likely catalyst for a pullback. </w:t>
      </w:r>
      <w:r>
        <w:rPr>
          <w:rFonts w:ascii="Calibri" w:hAnsi="Calibri"/>
          <w:b/>
          <w:color w:val="525866"/>
          <w:sz w:val="22"/>
        </w:rPr>
        <w:t>The wildcard is automotive CapEx</w:t>
      </w:r>
      <w:r>
        <w:rPr>
          <w:rFonts w:ascii="Calibri" w:hAnsi="Calibri"/>
          <w:color w:val="525866"/>
          <w:sz w:val="22"/>
        </w:rPr>
        <w:t>: any signal that USMCA negotiations are progressing and large automotive programs are releasing could meaningfully push the stock higher, while further delays would reinforce the bear case that the recovery is narrower than the multiple implies.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not stretched, but not low either after the Q2 guidance raise. </w:t>
      </w:r>
      <w:r>
        <w:rPr>
          <w:rFonts w:ascii="Calibri" w:hAnsi="Calibri"/>
          <w:b/>
          <w:color w:val="525866"/>
          <w:sz w:val="22"/>
        </w:rPr>
        <w:t>Software &amp; Control margin is the bigger swing factor</w:t>
      </w:r>
      <w:r>
        <w:rPr>
          <w:rFonts w:ascii="Calibri" w:hAnsi="Calibri"/>
          <w:color w:val="525866"/>
          <w:sz w:val="22"/>
        </w:rPr>
        <w:t>; organic growth is well-telegraphed at ~6-7% and unlikely to surprise materially in either direction.</w:t>
      </w:r>
    </w:p>
    <w:p>
      <w:pPr>
        <w:pStyle w:val="Heading3"/>
      </w:pPr>
      <w:r>
        <w:rPr>
          <w:rFonts w:ascii="Calibri" w:hAnsi="Calibri"/>
          <w:b/>
          <w:color w:val="3B4259"/>
          <w:sz w:val="24"/>
        </w:rPr>
        <w:t>Table 1 — Q3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Qtr)</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(Q3 FY2026)</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($M)</w:t>
            </w:r>
          </w:p>
        </w:tc>
        <w:tc>
          <w:tcPr>
            <w:tcW w:type="dxa" w:w="1234"/>
          </w:tcPr>
          <w:p>
            <w:r>
              <w:rPr>
                <w:rFonts w:ascii="Calibri" w:hAnsi="Calibri"/>
                <w:sz w:val="22"/>
              </w:rPr>
              <w:t>$2,239</w:t>
            </w:r>
          </w:p>
        </w:tc>
        <w:tc>
          <w:tcPr>
            <w:tcW w:type="dxa" w:w="1234"/>
          </w:tcPr>
          <w:p>
            <w:r>
              <w:rPr>
                <w:rFonts w:ascii="Calibri" w:hAnsi="Calibri"/>
                <w:sz w:val="22"/>
              </w:rPr>
              <w:t>$2,144</w:t>
            </w:r>
          </w:p>
        </w:tc>
        <w:tc>
          <w:tcPr>
            <w:tcW w:type="dxa" w:w="1234"/>
          </w:tcPr>
          <w:p>
            <w:r>
              <w:rPr>
                <w:rFonts w:ascii="Calibri" w:hAnsi="Calibri"/>
                <w:sz w:val="22"/>
              </w:rPr>
              <w:t>$2,249</w:t>
            </w:r>
          </w:p>
        </w:tc>
        <w:tc>
          <w:tcPr>
            <w:tcW w:type="dxa" w:w="1234"/>
          </w:tcPr>
          <w:p>
            <w:r>
              <w:rPr>
                <w:rFonts w:ascii="Calibri" w:hAnsi="Calibri"/>
                <w:sz w:val="22"/>
              </w:rPr>
              <w:t>+4.9%</w:t>
            </w:r>
          </w:p>
        </w:tc>
        <w:tc>
          <w:tcPr>
            <w:tcW w:type="dxa" w:w="1234"/>
          </w:tcPr>
          <w:p>
            <w:r>
              <w:rPr>
                <w:rFonts w:ascii="Calibri" w:hAnsi="Calibri"/>
                <w:sz w:val="22"/>
              </w:rPr>
              <w:t>~Flat seq. (~$2,239M implied)</w:t>
            </w:r>
          </w:p>
        </w:tc>
        <w:tc>
          <w:tcPr>
            <w:tcW w:type="dxa" w:w="1234"/>
          </w:tcPr>
          <w:p>
            <w:r>
              <w:rPr>
                <w:rFonts w:ascii="Calibri" w:hAnsi="Calibri"/>
                <w:sz w:val="22"/>
              </w:rPr>
              <w:t>+0.5%</w:t>
            </w:r>
          </w:p>
        </w:tc>
      </w:tr>
      <w:tr>
        <w:tc>
          <w:tcPr>
            <w:tcW w:type="dxa" w:w="1234"/>
          </w:tcPr>
          <w:p>
            <w:r>
              <w:rPr>
                <w:rFonts w:ascii="Calibri" w:hAnsi="Calibri"/>
                <w:sz w:val="22"/>
              </w:rPr>
              <w:t>Total Organic Growth (%)</w:t>
            </w:r>
          </w:p>
        </w:tc>
        <w:tc>
          <w:tcPr>
            <w:tcW w:type="dxa" w:w="1234"/>
          </w:tcPr>
          <w:p>
            <w:r>
              <w:rPr>
                <w:rFonts w:ascii="Calibri" w:hAnsi="Calibri"/>
                <w:sz w:val="22"/>
              </w:rPr>
              <w:t>+8.6%</w:t>
            </w:r>
          </w:p>
        </w:tc>
        <w:tc>
          <w:tcPr>
            <w:tcW w:type="dxa" w:w="1234"/>
          </w:tcPr>
          <w:p>
            <w:r>
              <w:rPr>
                <w:rFonts w:ascii="Calibri" w:hAnsi="Calibri"/>
                <w:sz w:val="22"/>
              </w:rPr>
              <w:t>+4.3%</w:t>
            </w:r>
          </w:p>
        </w:tc>
        <w:tc>
          <w:tcPr>
            <w:tcW w:type="dxa" w:w="1234"/>
          </w:tcPr>
          <w:p>
            <w:r>
              <w:rPr>
                <w:rFonts w:ascii="Calibri" w:hAnsi="Calibri"/>
                <w:sz w:val="22"/>
              </w:rPr>
              <w:t>+6.4%</w:t>
            </w:r>
          </w:p>
        </w:tc>
        <w:tc>
          <w:tcPr>
            <w:tcW w:type="dxa" w:w="1234"/>
          </w:tcPr>
          <w:p>
            <w:r>
              <w:rPr>
                <w:rFonts w:ascii="Calibri" w:hAnsi="Calibri"/>
                <w:sz w:val="22"/>
              </w:rPr>
              <w:t>+210 bps YoY</w:t>
            </w:r>
          </w:p>
        </w:tc>
        <w:tc>
          <w:tcPr>
            <w:tcW w:type="dxa" w:w="1234"/>
          </w:tcPr>
          <w:p>
            <w:r>
              <w:rPr>
                <w:rFonts w:ascii="Calibri" w:hAnsi="Calibri"/>
                <w:sz w:val="22"/>
              </w:rPr>
              <w:t>5%–9% FY range; ~6–7% implied Q3</w:t>
            </w:r>
          </w:p>
        </w:tc>
        <w:tc>
          <w:tcPr>
            <w:tcW w:type="dxa" w:w="1234"/>
          </w:tcPr>
          <w:p>
            <w:r>
              <w:rPr>
                <w:rFonts w:ascii="Calibri" w:hAnsi="Calibri"/>
                <w:sz w:val="22"/>
              </w:rPr>
              <w:t>~In line</w:t>
            </w:r>
          </w:p>
        </w:tc>
      </w:tr>
      <w:tr>
        <w:tc>
          <w:tcPr>
            <w:tcW w:type="dxa" w:w="1234"/>
          </w:tcPr>
          <w:p>
            <w:r>
              <w:rPr>
                <w:rFonts w:ascii="Calibri" w:hAnsi="Calibri"/>
                <w:sz w:val="22"/>
              </w:rPr>
              <w:t>Adj. EPS (Operating, $)</w:t>
            </w:r>
          </w:p>
        </w:tc>
        <w:tc>
          <w:tcPr>
            <w:tcW w:type="dxa" w:w="1234"/>
          </w:tcPr>
          <w:p>
            <w:r>
              <w:rPr>
                <w:rFonts w:ascii="Calibri" w:hAnsi="Calibri"/>
                <w:sz w:val="22"/>
              </w:rPr>
              <w:t>$3.30</w:t>
            </w:r>
          </w:p>
        </w:tc>
        <w:tc>
          <w:tcPr>
            <w:tcW w:type="dxa" w:w="1234"/>
          </w:tcPr>
          <w:p>
            <w:r>
              <w:rPr>
                <w:rFonts w:ascii="Calibri" w:hAnsi="Calibri"/>
                <w:sz w:val="22"/>
              </w:rPr>
              <w:t>$2.86</w:t>
            </w:r>
          </w:p>
        </w:tc>
        <w:tc>
          <w:tcPr>
            <w:tcW w:type="dxa" w:w="1234"/>
          </w:tcPr>
          <w:p>
            <w:r>
              <w:rPr>
                <w:rFonts w:ascii="Calibri" w:hAnsi="Calibri"/>
                <w:sz w:val="22"/>
              </w:rPr>
              <w:t>$3.39</w:t>
            </w:r>
          </w:p>
        </w:tc>
        <w:tc>
          <w:tcPr>
            <w:tcW w:type="dxa" w:w="1234"/>
          </w:tcPr>
          <w:p>
            <w:r>
              <w:rPr>
                <w:rFonts w:ascii="Calibri" w:hAnsi="Calibri"/>
                <w:sz w:val="22"/>
              </w:rPr>
              <w:t>+18.5%</w:t>
            </w:r>
          </w:p>
        </w:tc>
        <w:tc>
          <w:tcPr>
            <w:tcW w:type="dxa" w:w="1234"/>
          </w:tcPr>
          <w:p>
            <w:r>
              <w:rPr>
                <w:rFonts w:ascii="Calibri" w:hAnsi="Calibri"/>
                <w:sz w:val="22"/>
              </w:rPr>
              <w:t>~$3.35 (up ~$0.05 seq.)</w:t>
            </w:r>
          </w:p>
        </w:tc>
        <w:tc>
          <w:tcPr>
            <w:tcW w:type="dxa" w:w="1234"/>
          </w:tcPr>
          <w:p>
            <w:r>
              <w:rPr>
                <w:rFonts w:ascii="Calibri" w:hAnsi="Calibri"/>
                <w:sz w:val="22"/>
              </w:rPr>
              <w:t>+1.2%</w:t>
            </w:r>
          </w:p>
        </w:tc>
      </w:tr>
      <w:tr>
        <w:tc>
          <w:tcPr>
            <w:tcW w:type="dxa" w:w="1234"/>
          </w:tcPr>
          <w:p>
            <w:r>
              <w:rPr>
                <w:rFonts w:ascii="Calibri" w:hAnsi="Calibri"/>
                <w:sz w:val="22"/>
              </w:rPr>
              <w:t>Segment Op. Margin (%)</w:t>
            </w:r>
          </w:p>
        </w:tc>
        <w:tc>
          <w:tcPr>
            <w:tcW w:type="dxa" w:w="1234"/>
          </w:tcPr>
          <w:p>
            <w:r>
              <w:rPr>
                <w:rFonts w:ascii="Calibri" w:hAnsi="Calibri"/>
                <w:sz w:val="22"/>
              </w:rPr>
              <w:t>23.7%</w:t>
            </w:r>
          </w:p>
        </w:tc>
        <w:tc>
          <w:tcPr>
            <w:tcW w:type="dxa" w:w="1234"/>
          </w:tcPr>
          <w:p>
            <w:r>
              <w:rPr>
                <w:rFonts w:ascii="Calibri" w:hAnsi="Calibri"/>
                <w:sz w:val="22"/>
              </w:rPr>
              <w:t>21.2%</w:t>
            </w:r>
          </w:p>
        </w:tc>
        <w:tc>
          <w:tcPr>
            <w:tcW w:type="dxa" w:w="1234"/>
          </w:tcPr>
          <w:p>
            <w:r>
              <w:rPr>
                <w:rFonts w:ascii="Calibri" w:hAnsi="Calibri"/>
                <w:sz w:val="22"/>
              </w:rPr>
              <w:t>23.5%</w:t>
            </w:r>
          </w:p>
        </w:tc>
        <w:tc>
          <w:tcPr>
            <w:tcW w:type="dxa" w:w="1234"/>
          </w:tcPr>
          <w:p>
            <w:r>
              <w:rPr>
                <w:rFonts w:ascii="Calibri" w:hAnsi="Calibri"/>
                <w:sz w:val="22"/>
              </w:rPr>
              <w:t>+230 bps YoY</w:t>
            </w:r>
          </w:p>
        </w:tc>
        <w:tc>
          <w:tcPr>
            <w:tcW w:type="dxa" w:w="1234"/>
          </w:tcPr>
          <w:p>
            <w:r>
              <w:rPr>
                <w:rFonts w:ascii="Calibri" w:hAnsi="Calibri"/>
                <w:sz w:val="22"/>
              </w:rPr>
              <w:t>Flat seq. (guided lower S&amp;C, higher ID)</w:t>
            </w:r>
          </w:p>
        </w:tc>
        <w:tc>
          <w:tcPr>
            <w:tcW w:type="dxa" w:w="1234"/>
          </w:tcPr>
          <w:p>
            <w:r>
              <w:rPr>
                <w:rFonts w:ascii="Calibri" w:hAnsi="Calibri"/>
                <w:sz w:val="22"/>
              </w:rPr>
              <w:t>~In line</w:t>
            </w:r>
          </w:p>
        </w:tc>
      </w:tr>
      <w:tr>
        <w:tc>
          <w:tcPr>
            <w:tcW w:type="dxa" w:w="1234"/>
          </w:tcPr>
          <w:p>
            <w:r>
              <w:rPr>
                <w:rFonts w:ascii="Calibri" w:hAnsi="Calibri"/>
                <w:sz w:val="22"/>
              </w:rPr>
              <w:t>S&amp;C Segment Margin (%)</w:t>
            </w:r>
          </w:p>
        </w:tc>
        <w:tc>
          <w:tcPr>
            <w:tcW w:type="dxa" w:w="1234"/>
          </w:tcPr>
          <w:p>
            <w:r>
              <w:rPr>
                <w:rFonts w:ascii="Calibri" w:hAnsi="Calibri"/>
                <w:sz w:val="22"/>
              </w:rPr>
              <w:t>34.9%</w:t>
            </w:r>
          </w:p>
        </w:tc>
        <w:tc>
          <w:tcPr>
            <w:tcW w:type="dxa" w:w="1234"/>
          </w:tcPr>
          <w:p>
            <w:r>
              <w:rPr>
                <w:rFonts w:ascii="Calibri" w:hAnsi="Calibri"/>
                <w:sz w:val="22"/>
              </w:rPr>
              <w:t>31.6%</w:t>
            </w:r>
          </w:p>
        </w:tc>
        <w:tc>
          <w:tcPr>
            <w:tcW w:type="dxa" w:w="1234"/>
          </w:tcPr>
          <w:p>
            <w:r>
              <w:rPr>
                <w:rFonts w:ascii="Calibri" w:hAnsi="Calibri"/>
                <w:sz w:val="22"/>
              </w:rPr>
              <w:t>33.7%</w:t>
            </w:r>
          </w:p>
        </w:tc>
        <w:tc>
          <w:tcPr>
            <w:tcW w:type="dxa" w:w="1234"/>
          </w:tcPr>
          <w:p>
            <w:r>
              <w:rPr>
                <w:rFonts w:ascii="Calibri" w:hAnsi="Calibri"/>
                <w:sz w:val="22"/>
              </w:rPr>
              <w:t>+210 bps YoY</w:t>
            </w:r>
          </w:p>
        </w:tc>
        <w:tc>
          <w:tcPr>
            <w:tcW w:type="dxa" w:w="1234"/>
          </w:tcPr>
          <w:p>
            <w:r>
              <w:rPr>
                <w:rFonts w:ascii="Calibri" w:hAnsi="Calibri"/>
                <w:sz w:val="22"/>
              </w:rPr>
              <w:t>Seq. lower (memory cost headwind)</w:t>
            </w:r>
          </w:p>
        </w:tc>
        <w:tc>
          <w:tcPr>
            <w:tcW w:type="dxa" w:w="1234"/>
          </w:tcPr>
          <w:p>
            <w:r>
              <w:rPr>
                <w:rFonts w:ascii="Calibri" w:hAnsi="Calibri"/>
                <w:sz w:val="22"/>
              </w:rPr>
              <w:t>~In line</w:t>
            </w:r>
          </w:p>
        </w:tc>
      </w:tr>
      <w:tr>
        <w:tc>
          <w:tcPr>
            <w:tcW w:type="dxa" w:w="1234"/>
          </w:tcPr>
          <w:p>
            <w:r>
              <w:rPr>
                <w:rFonts w:ascii="Calibri" w:hAnsi="Calibri"/>
                <w:sz w:val="22"/>
              </w:rPr>
              <w:t>ID Segment Margin (%)</w:t>
            </w:r>
          </w:p>
        </w:tc>
        <w:tc>
          <w:tcPr>
            <w:tcW w:type="dxa" w:w="1234"/>
          </w:tcPr>
          <w:p>
            <w:r>
              <w:rPr>
                <w:rFonts w:ascii="Calibri" w:hAnsi="Calibri"/>
                <w:sz w:val="22"/>
              </w:rPr>
              <w:t>20.9%</w:t>
            </w:r>
          </w:p>
        </w:tc>
        <w:tc>
          <w:tcPr>
            <w:tcW w:type="dxa" w:w="1234"/>
          </w:tcPr>
          <w:p>
            <w:r>
              <w:rPr>
                <w:rFonts w:ascii="Calibri" w:hAnsi="Calibri"/>
                <w:sz w:val="22"/>
              </w:rPr>
              <w:t>18.8%</w:t>
            </w:r>
          </w:p>
        </w:tc>
        <w:tc>
          <w:tcPr>
            <w:tcW w:type="dxa" w:w="1234"/>
          </w:tcPr>
          <w:p>
            <w:r>
              <w:rPr>
                <w:rFonts w:ascii="Calibri" w:hAnsi="Calibri"/>
                <w:sz w:val="22"/>
              </w:rPr>
              <w:t>21.2%</w:t>
            </w:r>
          </w:p>
        </w:tc>
        <w:tc>
          <w:tcPr>
            <w:tcW w:type="dxa" w:w="1234"/>
          </w:tcPr>
          <w:p>
            <w:r>
              <w:rPr>
                <w:rFonts w:ascii="Calibri" w:hAnsi="Calibri"/>
                <w:sz w:val="22"/>
              </w:rPr>
              <w:t>+240 bps YoY</w:t>
            </w:r>
          </w:p>
        </w:tc>
        <w:tc>
          <w:tcPr>
            <w:tcW w:type="dxa" w:w="1234"/>
          </w:tcPr>
          <w:p>
            <w:r>
              <w:rPr>
                <w:rFonts w:ascii="Calibri" w:hAnsi="Calibri"/>
                <w:sz w:val="22"/>
              </w:rPr>
              <w:t>Slightly up seq.</w:t>
            </w:r>
          </w:p>
        </w:tc>
        <w:tc>
          <w:tcPr>
            <w:tcW w:type="dxa" w:w="1234"/>
          </w:tcPr>
          <w:p>
            <w:r>
              <w:rPr>
                <w:rFonts w:ascii="Calibri" w:hAnsi="Calibri"/>
                <w:sz w:val="22"/>
              </w:rPr>
              <w:t>+0.1 pts</w:t>
            </w:r>
          </w:p>
        </w:tc>
      </w:tr>
      <w:tr>
        <w:tc>
          <w:tcPr>
            <w:tcW w:type="dxa" w:w="1234"/>
          </w:tcPr>
          <w:p>
            <w:r>
              <w:rPr>
                <w:rFonts w:ascii="Calibri" w:hAnsi="Calibri"/>
                <w:sz w:val="22"/>
              </w:rPr>
              <w:t>LS Segment Margin (%)</w:t>
            </w:r>
          </w:p>
        </w:tc>
        <w:tc>
          <w:tcPr>
            <w:tcW w:type="dxa" w:w="1234"/>
          </w:tcPr>
          <w:p>
            <w:r>
              <w:rPr>
                <w:rFonts w:ascii="Calibri" w:hAnsi="Calibri"/>
                <w:sz w:val="22"/>
              </w:rPr>
              <w:t>14.6%</w:t>
            </w:r>
          </w:p>
        </w:tc>
        <w:tc>
          <w:tcPr>
            <w:tcW w:type="dxa" w:w="1234"/>
          </w:tcPr>
          <w:p>
            <w:r>
              <w:rPr>
                <w:rFonts w:ascii="Calibri" w:hAnsi="Calibri"/>
                <w:sz w:val="22"/>
              </w:rPr>
              <w:t>13.3%</w:t>
            </w:r>
          </w:p>
        </w:tc>
        <w:tc>
          <w:tcPr>
            <w:tcW w:type="dxa" w:w="1234"/>
          </w:tcPr>
          <w:p>
            <w:r>
              <w:rPr>
                <w:rFonts w:ascii="Calibri" w:hAnsi="Calibri"/>
                <w:sz w:val="22"/>
              </w:rPr>
              <w:t>14.9%</w:t>
            </w:r>
          </w:p>
        </w:tc>
        <w:tc>
          <w:tcPr>
            <w:tcW w:type="dxa" w:w="1234"/>
          </w:tcPr>
          <w:p>
            <w:r>
              <w:rPr>
                <w:rFonts w:ascii="Calibri" w:hAnsi="Calibri"/>
                <w:sz w:val="22"/>
              </w:rPr>
              <w:t>+160 bps YoY</w:t>
            </w:r>
          </w:p>
        </w:tc>
        <w:tc>
          <w:tcPr>
            <w:tcW w:type="dxa" w:w="1234"/>
          </w:tcPr>
          <w:p>
            <w:r>
              <w:rPr>
                <w:rFonts w:ascii="Calibri" w:hAnsi="Calibri"/>
                <w:sz w:val="22"/>
              </w:rPr>
              <w:t>Slightly up seq. (Sensia benefit)</w:t>
            </w:r>
          </w:p>
        </w:tc>
        <w:tc>
          <w:tcPr>
            <w:tcW w:type="dxa" w:w="1234"/>
          </w:tcPr>
          <w:p>
            <w:r>
              <w:rPr>
                <w:rFonts w:ascii="Calibri" w:hAnsi="Calibri"/>
                <w:sz w:val="22"/>
              </w:rPr>
              <w:t>+0.3 pts</w:t>
            </w:r>
          </w:p>
        </w:tc>
      </w:tr>
      <w:tr>
        <w:tc>
          <w:tcPr>
            <w:tcW w:type="dxa" w:w="1234"/>
          </w:tcPr>
          <w:p>
            <w:r>
              <w:rPr>
                <w:rFonts w:ascii="Calibri" w:hAnsi="Calibri"/>
                <w:sz w:val="22"/>
              </w:rPr>
              <w:t>S&amp;C Revenue ($M)</w:t>
            </w:r>
          </w:p>
        </w:tc>
        <w:tc>
          <w:tcPr>
            <w:tcW w:type="dxa" w:w="1234"/>
          </w:tcPr>
          <w:p>
            <w:r>
              <w:rPr>
                <w:rFonts w:ascii="Calibri" w:hAnsi="Calibri"/>
                <w:sz w:val="22"/>
              </w:rPr>
              <w:t>$684</w:t>
            </w:r>
          </w:p>
        </w:tc>
        <w:tc>
          <w:tcPr>
            <w:tcW w:type="dxa" w:w="1234"/>
          </w:tcPr>
          <w:p>
            <w:r>
              <w:rPr>
                <w:rFonts w:ascii="Calibri" w:hAnsi="Calibri"/>
                <w:sz w:val="22"/>
              </w:rPr>
              <w:t>$629</w:t>
            </w:r>
          </w:p>
        </w:tc>
        <w:tc>
          <w:tcPr>
            <w:tcW w:type="dxa" w:w="1234"/>
          </w:tcPr>
          <w:p>
            <w:r>
              <w:rPr>
                <w:rFonts w:ascii="Calibri" w:hAnsi="Calibri"/>
                <w:sz w:val="22"/>
              </w:rPr>
              <w:t>$685</w:t>
            </w:r>
          </w:p>
        </w:tc>
        <w:tc>
          <w:tcPr>
            <w:tcW w:type="dxa" w:w="1234"/>
          </w:tcPr>
          <w:p>
            <w:r>
              <w:rPr>
                <w:rFonts w:ascii="Calibri" w:hAnsi="Calibri"/>
                <w:sz w:val="22"/>
              </w:rPr>
              <w:t>+8.9%</w:t>
            </w:r>
          </w:p>
        </w:tc>
        <w:tc>
          <w:tcPr>
            <w:tcW w:type="dxa" w:w="1234"/>
          </w:tcPr>
          <w:p>
            <w:r>
              <w:rPr>
                <w:rFonts w:ascii="Calibri" w:hAnsi="Calibri"/>
                <w:sz w:val="22"/>
              </w:rPr>
              <w:t>Low double-digit FY growth</w:t>
            </w:r>
          </w:p>
        </w:tc>
        <w:tc>
          <w:tcPr>
            <w:tcW w:type="dxa" w:w="1234"/>
          </w:tcPr>
          <w:p>
            <w:r>
              <w:rPr>
                <w:rFonts w:ascii="Calibri" w:hAnsi="Calibri"/>
                <w:sz w:val="22"/>
              </w:rPr>
              <w:t>~In line</w:t>
            </w:r>
          </w:p>
        </w:tc>
      </w:tr>
      <w:tr>
        <w:tc>
          <w:tcPr>
            <w:tcW w:type="dxa" w:w="1234"/>
          </w:tcPr>
          <w:p>
            <w:r>
              <w:rPr>
                <w:rFonts w:ascii="Calibri" w:hAnsi="Calibri"/>
                <w:sz w:val="22"/>
              </w:rPr>
              <w:t>ID Revenue ($M)</w:t>
            </w:r>
          </w:p>
        </w:tc>
        <w:tc>
          <w:tcPr>
            <w:tcW w:type="dxa" w:w="1234"/>
          </w:tcPr>
          <w:p>
            <w:r>
              <w:rPr>
                <w:rFonts w:ascii="Calibri" w:hAnsi="Calibri"/>
                <w:sz w:val="22"/>
              </w:rPr>
              <w:t>$1,008</w:t>
            </w:r>
          </w:p>
        </w:tc>
        <w:tc>
          <w:tcPr>
            <w:tcW w:type="dxa" w:w="1234"/>
          </w:tcPr>
          <w:p>
            <w:r>
              <w:rPr>
                <w:rFonts w:ascii="Calibri" w:hAnsi="Calibri"/>
                <w:sz w:val="22"/>
              </w:rPr>
              <w:t>$968</w:t>
            </w:r>
          </w:p>
        </w:tc>
        <w:tc>
          <w:tcPr>
            <w:tcW w:type="dxa" w:w="1234"/>
          </w:tcPr>
          <w:p>
            <w:r>
              <w:rPr>
                <w:rFonts w:ascii="Calibri" w:hAnsi="Calibri"/>
                <w:sz w:val="22"/>
              </w:rPr>
              <w:t>$1,053</w:t>
            </w:r>
          </w:p>
        </w:tc>
        <w:tc>
          <w:tcPr>
            <w:tcW w:type="dxa" w:w="1234"/>
          </w:tcPr>
          <w:p>
            <w:r>
              <w:rPr>
                <w:rFonts w:ascii="Calibri" w:hAnsi="Calibri"/>
                <w:sz w:val="22"/>
              </w:rPr>
              <w:t>+8.8%</w:t>
            </w:r>
          </w:p>
        </w:tc>
        <w:tc>
          <w:tcPr>
            <w:tcW w:type="dxa" w:w="1234"/>
          </w:tcPr>
          <w:p>
            <w:r>
              <w:rPr>
                <w:rFonts w:ascii="Calibri" w:hAnsi="Calibri"/>
                <w:sz w:val="22"/>
              </w:rPr>
              <w:t>High single-digit FY growth</w:t>
            </w:r>
          </w:p>
        </w:tc>
        <w:tc>
          <w:tcPr>
            <w:tcW w:type="dxa" w:w="1234"/>
          </w:tcPr>
          <w:p>
            <w:r>
              <w:rPr>
                <w:rFonts w:ascii="Calibri" w:hAnsi="Calibri"/>
                <w:sz w:val="22"/>
              </w:rPr>
              <w:t>~In line</w:t>
            </w:r>
          </w:p>
        </w:tc>
      </w:tr>
      <w:tr>
        <w:tc>
          <w:tcPr>
            <w:tcW w:type="dxa" w:w="1234"/>
          </w:tcPr>
          <w:p>
            <w:r>
              <w:rPr>
                <w:rFonts w:ascii="Calibri" w:hAnsi="Calibri"/>
                <w:sz w:val="22"/>
              </w:rPr>
              <w:t>LS Revenue ($M)</w:t>
            </w:r>
          </w:p>
        </w:tc>
        <w:tc>
          <w:tcPr>
            <w:tcW w:type="dxa" w:w="1234"/>
          </w:tcPr>
          <w:p>
            <w:r>
              <w:rPr>
                <w:rFonts w:ascii="Calibri" w:hAnsi="Calibri"/>
                <w:sz w:val="22"/>
              </w:rPr>
              <w:t>$547</w:t>
            </w:r>
          </w:p>
        </w:tc>
        <w:tc>
          <w:tcPr>
            <w:tcW w:type="dxa" w:w="1234"/>
          </w:tcPr>
          <w:p>
            <w:r>
              <w:rPr>
                <w:rFonts w:ascii="Calibri" w:hAnsi="Calibri"/>
                <w:sz w:val="22"/>
              </w:rPr>
              <w:t>$547</w:t>
            </w:r>
          </w:p>
        </w:tc>
        <w:tc>
          <w:tcPr>
            <w:tcW w:type="dxa" w:w="1234"/>
          </w:tcPr>
          <w:p>
            <w:r>
              <w:rPr>
                <w:rFonts w:ascii="Calibri" w:hAnsi="Calibri"/>
                <w:sz w:val="22"/>
              </w:rPr>
              <w:t>$511</w:t>
            </w:r>
          </w:p>
        </w:tc>
        <w:tc>
          <w:tcPr>
            <w:tcW w:type="dxa" w:w="1234"/>
          </w:tcPr>
          <w:p>
            <w:r>
              <w:rPr>
                <w:rFonts w:ascii="Calibri" w:hAnsi="Calibri"/>
                <w:sz w:val="22"/>
              </w:rPr>
              <w:t>-6.6%</w:t>
            </w:r>
          </w:p>
        </w:tc>
        <w:tc>
          <w:tcPr>
            <w:tcW w:type="dxa" w:w="1234"/>
          </w:tcPr>
          <w:p>
            <w:r>
              <w:rPr>
                <w:rFonts w:ascii="Calibri" w:hAnsi="Calibri"/>
                <w:sz w:val="22"/>
              </w:rPr>
              <w:t>Down ~$100M FY (Sensia dissolution)</w:t>
            </w:r>
          </w:p>
        </w:tc>
        <w:tc>
          <w:tcPr>
            <w:tcW w:type="dxa" w:w="1234"/>
          </w:tcPr>
          <w:p>
            <w:r>
              <w:rPr>
                <w:rFonts w:ascii="Calibri" w:hAnsi="Calibri"/>
                <w:sz w:val="22"/>
              </w:rPr>
              <w:t>~In line</w:t>
            </w:r>
          </w:p>
        </w:tc>
      </w:tr>
      <w:tr>
        <w:tc>
          <w:tcPr>
            <w:tcW w:type="dxa" w:w="1234"/>
          </w:tcPr>
          <w:p>
            <w:r>
              <w:rPr>
                <w:rFonts w:ascii="Calibri" w:hAnsi="Calibri"/>
                <w:sz w:val="22"/>
              </w:rPr>
              <w:t>Free Cash Flow ($M)</w:t>
            </w:r>
          </w:p>
        </w:tc>
        <w:tc>
          <w:tcPr>
            <w:tcW w:type="dxa" w:w="1234"/>
          </w:tcPr>
          <w:p>
            <w:r>
              <w:rPr>
                <w:rFonts w:ascii="Calibri" w:hAnsi="Calibri"/>
                <w:sz w:val="22"/>
              </w:rPr>
              <w:t>$275</w:t>
            </w:r>
          </w:p>
        </w:tc>
        <w:tc>
          <w:tcPr>
            <w:tcW w:type="dxa" w:w="1234"/>
          </w:tcPr>
          <w:p>
            <w:r>
              <w:rPr>
                <w:rFonts w:ascii="Calibri" w:hAnsi="Calibri"/>
                <w:sz w:val="22"/>
              </w:rPr>
              <w:t>$489</w:t>
            </w:r>
          </w:p>
        </w:tc>
        <w:tc>
          <w:tcPr>
            <w:tcW w:type="dxa" w:w="1234"/>
          </w:tcPr>
          <w:p>
            <w:r>
              <w:rPr>
                <w:rFonts w:ascii="Calibri" w:hAnsi="Calibri"/>
                <w:sz w:val="22"/>
              </w:rPr>
              <w:t>$452</w:t>
            </w:r>
          </w:p>
        </w:tc>
        <w:tc>
          <w:tcPr>
            <w:tcW w:type="dxa" w:w="1234"/>
          </w:tcPr>
          <w:p>
            <w:r>
              <w:rPr>
                <w:rFonts w:ascii="Calibri" w:hAnsi="Calibri"/>
                <w:sz w:val="22"/>
              </w:rPr>
              <w:t>-7.6% YoY</w:t>
            </w:r>
          </w:p>
        </w:tc>
        <w:tc>
          <w:tcPr>
            <w:tcW w:type="dxa" w:w="1234"/>
          </w:tcPr>
          <w:p>
            <w:r>
              <w:rPr>
                <w:rFonts w:ascii="Calibri" w:hAnsi="Calibri"/>
                <w:sz w:val="22"/>
              </w:rPr>
              <w:t>100% FCF conversion FY2026</w:t>
            </w:r>
          </w:p>
        </w:tc>
        <w:tc>
          <w:tcPr>
            <w:tcW w:type="dxa" w:w="1234"/>
          </w:tcPr>
          <w:p>
            <w:r>
              <w:rPr>
                <w:rFonts w:ascii="Calibri" w:hAnsi="Calibri"/>
                <w:sz w:val="22"/>
              </w:rPr>
              <w:t>~In line</w:t>
            </w:r>
          </w:p>
        </w:tc>
      </w:tr>
    </w:tbl>
    <w:p>
      <w:r>
        <w:rPr>
          <w:rFonts w:ascii="Calibri" w:hAnsi="Calibri"/>
          <w:i/>
          <w:color w:val="525866"/>
          <w:sz w:val="22"/>
        </w:rPr>
        <w:t>Sources: Visible Alpha consensus and actuals data. S&amp;C = Software &amp; Control; ID = Intelligent Devices; LS = Lifecycle Services. Q3 FY2026 guidance derived from Q2 FY2026 earnings call (May 5, 2026). Consensus estimates as of August 3, 2026.</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(1) Adjusted EPS (Operating) and (2) Segment Operating Margin</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Adj. EPS Reported</w:t>
            </w:r>
          </w:p>
        </w:tc>
        <w:tc>
          <w:tcPr>
            <w:tcW w:type="dxa" w:w="960"/>
            <w:shd w:val="clear" w:color="auto" w:fill="3B4259"/>
          </w:tcPr>
          <w:p>
            <w:r>
              <w:rPr>
                <w:rFonts w:ascii="Calibri" w:hAnsi="Calibri"/>
                <w:b/>
                <w:color w:val="FFFFFF"/>
                <w:sz w:val="22"/>
              </w:rPr>
              <w:t>Adj. 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Seg. Op. Margin Reported</w:t>
            </w:r>
          </w:p>
        </w:tc>
        <w:tc>
          <w:tcPr>
            <w:tcW w:type="dxa" w:w="960"/>
            <w:shd w:val="clear" w:color="auto" w:fill="3B4259"/>
          </w:tcPr>
          <w:p>
            <w:r>
              <w:rPr>
                <w:rFonts w:ascii="Calibri" w:hAnsi="Calibri"/>
                <w:b/>
                <w:color w:val="FFFFFF"/>
                <w:sz w:val="22"/>
              </w:rPr>
              <w:t>Seg. Op. Margin Consensus</w:t>
            </w:r>
          </w:p>
        </w:tc>
        <w:tc>
          <w:tcPr>
            <w:tcW w:type="dxa" w:w="960"/>
            <w:shd w:val="clear" w:color="auto" w:fill="3B4259"/>
          </w:tcPr>
          <w:p>
            <w:r>
              <w:rPr>
                <w:rFonts w:ascii="Calibri" w:hAnsi="Calibri"/>
                <w:b/>
                <w:color w:val="FFFFFF"/>
                <w:sz w:val="22"/>
              </w:rPr>
              <w:t>Margin Surprise</w:t>
            </w:r>
          </w:p>
        </w:tc>
        <w:tc>
          <w:tcPr>
            <w:tcW w:type="dxa" w:w="960"/>
            <w:shd w:val="clear" w:color="auto" w:fill="3B4259"/>
          </w:tcPr>
          <w:p>
            <w:r>
              <w:rPr>
                <w:rFonts w:ascii="Calibri" w:hAnsi="Calibri"/>
                <w:b/>
                <w:color w:val="FFFFFF"/>
                <w:sz w:val="22"/>
              </w:rPr>
              <w:t>Margin Result</w:t>
            </w:r>
          </w:p>
        </w:tc>
      </w:tr>
      <w:tr>
        <w:tc>
          <w:tcPr>
            <w:tcW w:type="dxa" w:w="960"/>
          </w:tcPr>
          <w:p>
            <w:r>
              <w:rPr>
                <w:rFonts w:ascii="Calibri" w:hAnsi="Calibri"/>
                <w:sz w:val="22"/>
              </w:rPr>
              <w:t>Q3 FY2024</w:t>
            </w:r>
          </w:p>
        </w:tc>
        <w:tc>
          <w:tcPr>
            <w:tcW w:type="dxa" w:w="960"/>
          </w:tcPr>
          <w:p>
            <w:r>
              <w:rPr>
                <w:rFonts w:ascii="Calibri" w:hAnsi="Calibri"/>
                <w:sz w:val="22"/>
              </w:rPr>
              <w:t>$2.74</w:t>
            </w:r>
          </w:p>
        </w:tc>
        <w:tc>
          <w:tcPr>
            <w:tcW w:type="dxa" w:w="960"/>
          </w:tcPr>
          <w:p>
            <w:r>
              <w:rPr>
                <w:rFonts w:ascii="Calibri" w:hAnsi="Calibri"/>
                <w:sz w:val="22"/>
              </w:rPr>
              <w:t>$2.14</w:t>
            </w:r>
          </w:p>
        </w:tc>
        <w:tc>
          <w:tcPr>
            <w:tcW w:type="dxa" w:w="960"/>
          </w:tcPr>
          <w:p>
            <w:r>
              <w:rPr>
                <w:rFonts w:ascii="Calibri" w:hAnsi="Calibri"/>
                <w:b/>
                <w:color w:val="30A46C"/>
                <w:sz w:val="22"/>
              </w:rPr>
              <w:t>+28.0%</w:t>
            </w:r>
          </w:p>
        </w:tc>
        <w:tc>
          <w:tcPr>
            <w:tcW w:type="dxa" w:w="960"/>
          </w:tcPr>
          <w:p>
            <w:r>
              <w:rPr>
                <w:rFonts w:ascii="Calibri" w:hAnsi="Calibri"/>
                <w:b/>
                <w:color w:val="30A46C"/>
                <w:sz w:val="22"/>
              </w:rPr>
              <w:t>Beat</w:t>
            </w:r>
          </w:p>
        </w:tc>
        <w:tc>
          <w:tcPr>
            <w:tcW w:type="dxa" w:w="960"/>
          </w:tcPr>
          <w:p>
            <w:r>
              <w:rPr>
                <w:rFonts w:ascii="Calibri" w:hAnsi="Calibri"/>
                <w:sz w:val="22"/>
              </w:rPr>
              <w:t>20.8%</w:t>
            </w:r>
          </w:p>
        </w:tc>
        <w:tc>
          <w:tcPr>
            <w:tcW w:type="dxa" w:w="960"/>
          </w:tcPr>
          <w:p>
            <w:r>
              <w:rPr>
                <w:rFonts w:ascii="Calibri" w:hAnsi="Calibri"/>
                <w:sz w:val="22"/>
              </w:rPr>
              <w:t>17.3%</w:t>
            </w:r>
          </w:p>
        </w:tc>
        <w:tc>
          <w:tcPr>
            <w:tcW w:type="dxa" w:w="960"/>
          </w:tcPr>
          <w:p>
            <w:r>
              <w:rPr>
                <w:rFonts w:ascii="Calibri" w:hAnsi="Calibri"/>
                <w:b/>
                <w:color w:val="30A46C"/>
                <w:sz w:val="22"/>
              </w:rPr>
              <w:t>+350 bps</w:t>
            </w:r>
          </w:p>
        </w:tc>
        <w:tc>
          <w:tcPr>
            <w:tcW w:type="dxa" w:w="960"/>
          </w:tcPr>
          <w:p>
            <w:r>
              <w:rPr>
                <w:rFonts w:ascii="Calibri" w:hAnsi="Calibri"/>
                <w:b/>
                <w:color w:val="30A46C"/>
                <w:sz w:val="22"/>
              </w:rPr>
              <w:t>Beat</w:t>
            </w:r>
          </w:p>
        </w:tc>
      </w:tr>
      <w:tr>
        <w:tc>
          <w:tcPr>
            <w:tcW w:type="dxa" w:w="960"/>
          </w:tcPr>
          <w:p>
            <w:r>
              <w:rPr>
                <w:rFonts w:ascii="Calibri" w:hAnsi="Calibri"/>
                <w:sz w:val="22"/>
              </w:rPr>
              <w:t>Q4 FY2024</w:t>
            </w:r>
          </w:p>
        </w:tc>
        <w:tc>
          <w:tcPr>
            <w:tcW w:type="dxa" w:w="960"/>
          </w:tcPr>
          <w:p>
            <w:r>
              <w:rPr>
                <w:rFonts w:ascii="Calibri" w:hAnsi="Calibri"/>
                <w:sz w:val="22"/>
              </w:rPr>
              <w:t>$2.53</w:t>
            </w:r>
          </w:p>
        </w:tc>
        <w:tc>
          <w:tcPr>
            <w:tcW w:type="dxa" w:w="960"/>
          </w:tcPr>
          <w:p>
            <w:r>
              <w:rPr>
                <w:rFonts w:ascii="Calibri" w:hAnsi="Calibri"/>
                <w:sz w:val="22"/>
              </w:rPr>
              <w:t>$2.38</w:t>
            </w:r>
          </w:p>
        </w:tc>
        <w:tc>
          <w:tcPr>
            <w:tcW w:type="dxa" w:w="960"/>
          </w:tcPr>
          <w:p>
            <w:r>
              <w:rPr>
                <w:rFonts w:ascii="Calibri" w:hAnsi="Calibri"/>
                <w:b/>
                <w:color w:val="30A46C"/>
                <w:sz w:val="22"/>
              </w:rPr>
              <w:t>+6.3%</w:t>
            </w:r>
          </w:p>
        </w:tc>
        <w:tc>
          <w:tcPr>
            <w:tcW w:type="dxa" w:w="960"/>
          </w:tcPr>
          <w:p>
            <w:r>
              <w:rPr>
                <w:rFonts w:ascii="Calibri" w:hAnsi="Calibri"/>
                <w:b/>
                <w:color w:val="30A46C"/>
                <w:sz w:val="22"/>
              </w:rPr>
              <w:t>Beat</w:t>
            </w:r>
          </w:p>
        </w:tc>
        <w:tc>
          <w:tcPr>
            <w:tcW w:type="dxa" w:w="960"/>
          </w:tcPr>
          <w:p>
            <w:r>
              <w:rPr>
                <w:rFonts w:ascii="Calibri" w:hAnsi="Calibri"/>
                <w:sz w:val="22"/>
              </w:rPr>
              <w:t>20.1%</w:t>
            </w:r>
          </w:p>
        </w:tc>
        <w:tc>
          <w:tcPr>
            <w:tcW w:type="dxa" w:w="960"/>
          </w:tcPr>
          <w:p>
            <w:r>
              <w:rPr>
                <w:rFonts w:ascii="Calibri" w:hAnsi="Calibri"/>
                <w:sz w:val="22"/>
              </w:rPr>
              <w:t>19.5%</w:t>
            </w:r>
          </w:p>
        </w:tc>
        <w:tc>
          <w:tcPr>
            <w:tcW w:type="dxa" w:w="960"/>
          </w:tcPr>
          <w:p>
            <w:r>
              <w:rPr>
                <w:rFonts w:ascii="Calibri" w:hAnsi="Calibri"/>
                <w:b/>
                <w:color w:val="30A46C"/>
                <w:sz w:val="22"/>
              </w:rPr>
              <w:t>+60 bps</w:t>
            </w:r>
          </w:p>
        </w:tc>
        <w:tc>
          <w:tcPr>
            <w:tcW w:type="dxa" w:w="960"/>
          </w:tcPr>
          <w:p>
            <w:r>
              <w:rPr>
                <w:rFonts w:ascii="Calibri" w:hAnsi="Calibri"/>
                <w:b/>
                <w:color w:val="30A46C"/>
                <w:sz w:val="22"/>
              </w:rPr>
              <w:t>Beat</w:t>
            </w:r>
          </w:p>
        </w:tc>
      </w:tr>
      <w:tr>
        <w:tc>
          <w:tcPr>
            <w:tcW w:type="dxa" w:w="960"/>
          </w:tcPr>
          <w:p>
            <w:r>
              <w:rPr>
                <w:rFonts w:ascii="Calibri" w:hAnsi="Calibri"/>
                <w:sz w:val="22"/>
              </w:rPr>
              <w:t>Q1 FY2025</w:t>
            </w:r>
          </w:p>
        </w:tc>
        <w:tc>
          <w:tcPr>
            <w:tcW w:type="dxa" w:w="960"/>
          </w:tcPr>
          <w:p>
            <w:r>
              <w:rPr>
                <w:rFonts w:ascii="Calibri" w:hAnsi="Calibri"/>
                <w:sz w:val="22"/>
              </w:rPr>
              <w:t>$1.86</w:t>
            </w:r>
          </w:p>
        </w:tc>
        <w:tc>
          <w:tcPr>
            <w:tcW w:type="dxa" w:w="960"/>
          </w:tcPr>
          <w:p>
            <w:r>
              <w:rPr>
                <w:rFonts w:ascii="Calibri" w:hAnsi="Calibri"/>
                <w:sz w:val="22"/>
              </w:rPr>
              <w:t>$1.57</w:t>
            </w:r>
          </w:p>
        </w:tc>
        <w:tc>
          <w:tcPr>
            <w:tcW w:type="dxa" w:w="960"/>
          </w:tcPr>
          <w:p>
            <w:r>
              <w:rPr>
                <w:rFonts w:ascii="Calibri" w:hAnsi="Calibri"/>
                <w:b/>
                <w:color w:val="30A46C"/>
                <w:sz w:val="22"/>
              </w:rPr>
              <w:t>+18.5%</w:t>
            </w:r>
          </w:p>
        </w:tc>
        <w:tc>
          <w:tcPr>
            <w:tcW w:type="dxa" w:w="960"/>
          </w:tcPr>
          <w:p>
            <w:r>
              <w:rPr>
                <w:rFonts w:ascii="Calibri" w:hAnsi="Calibri"/>
                <w:b/>
                <w:color w:val="30A46C"/>
                <w:sz w:val="22"/>
              </w:rPr>
              <w:t>Beat</w:t>
            </w:r>
          </w:p>
        </w:tc>
        <w:tc>
          <w:tcPr>
            <w:tcW w:type="dxa" w:w="960"/>
          </w:tcPr>
          <w:p>
            <w:r>
              <w:rPr>
                <w:rFonts w:ascii="Calibri" w:hAnsi="Calibri"/>
                <w:sz w:val="22"/>
              </w:rPr>
              <w:t>17.1%</w:t>
            </w:r>
          </w:p>
        </w:tc>
        <w:tc>
          <w:tcPr>
            <w:tcW w:type="dxa" w:w="960"/>
          </w:tcPr>
          <w:p>
            <w:r>
              <w:rPr>
                <w:rFonts w:ascii="Calibri" w:hAnsi="Calibri"/>
                <w:sz w:val="22"/>
              </w:rPr>
              <w:t>15.4%</w:t>
            </w:r>
          </w:p>
        </w:tc>
        <w:tc>
          <w:tcPr>
            <w:tcW w:type="dxa" w:w="960"/>
          </w:tcPr>
          <w:p>
            <w:r>
              <w:rPr>
                <w:rFonts w:ascii="Calibri" w:hAnsi="Calibri"/>
                <w:b/>
                <w:color w:val="30A46C"/>
                <w:sz w:val="22"/>
              </w:rPr>
              <w:t>+170 bps</w:t>
            </w:r>
          </w:p>
        </w:tc>
        <w:tc>
          <w:tcPr>
            <w:tcW w:type="dxa" w:w="960"/>
          </w:tcPr>
          <w:p>
            <w:r>
              <w:rPr>
                <w:rFonts w:ascii="Calibri" w:hAnsi="Calibri"/>
                <w:b/>
                <w:color w:val="30A46C"/>
                <w:sz w:val="22"/>
              </w:rPr>
              <w:t>Beat</w:t>
            </w:r>
          </w:p>
        </w:tc>
      </w:tr>
      <w:tr>
        <w:tc>
          <w:tcPr>
            <w:tcW w:type="dxa" w:w="960"/>
          </w:tcPr>
          <w:p>
            <w:r>
              <w:rPr>
                <w:rFonts w:ascii="Calibri" w:hAnsi="Calibri"/>
                <w:sz w:val="22"/>
              </w:rPr>
              <w:t>Q2 FY2025</w:t>
            </w:r>
          </w:p>
        </w:tc>
        <w:tc>
          <w:tcPr>
            <w:tcW w:type="dxa" w:w="960"/>
          </w:tcPr>
          <w:p>
            <w:r>
              <w:rPr>
                <w:rFonts w:ascii="Calibri" w:hAnsi="Calibri"/>
                <w:sz w:val="22"/>
              </w:rPr>
              <w:t>$2.50</w:t>
            </w:r>
          </w:p>
        </w:tc>
        <w:tc>
          <w:tcPr>
            <w:tcW w:type="dxa" w:w="960"/>
          </w:tcPr>
          <w:p>
            <w:r>
              <w:rPr>
                <w:rFonts w:ascii="Calibri" w:hAnsi="Calibri"/>
                <w:sz w:val="22"/>
              </w:rPr>
              <w:t>$2.11</w:t>
            </w:r>
          </w:p>
        </w:tc>
        <w:tc>
          <w:tcPr>
            <w:tcW w:type="dxa" w:w="960"/>
          </w:tcPr>
          <w:p>
            <w:r>
              <w:rPr>
                <w:rFonts w:ascii="Calibri" w:hAnsi="Calibri"/>
                <w:b/>
                <w:color w:val="30A46C"/>
                <w:sz w:val="22"/>
              </w:rPr>
              <w:t>+18.5%</w:t>
            </w:r>
          </w:p>
        </w:tc>
        <w:tc>
          <w:tcPr>
            <w:tcW w:type="dxa" w:w="960"/>
          </w:tcPr>
          <w:p>
            <w:r>
              <w:rPr>
                <w:rFonts w:ascii="Calibri" w:hAnsi="Calibri"/>
                <w:b/>
                <w:color w:val="30A46C"/>
                <w:sz w:val="22"/>
              </w:rPr>
              <w:t>Beat</w:t>
            </w:r>
          </w:p>
        </w:tc>
        <w:tc>
          <w:tcPr>
            <w:tcW w:type="dxa" w:w="960"/>
          </w:tcPr>
          <w:p>
            <w:r>
              <w:rPr>
                <w:rFonts w:ascii="Calibri" w:hAnsi="Calibri"/>
                <w:sz w:val="22"/>
              </w:rPr>
              <w:t>20.4%</w:t>
            </w:r>
          </w:p>
        </w:tc>
        <w:tc>
          <w:tcPr>
            <w:tcW w:type="dxa" w:w="960"/>
          </w:tcPr>
          <w:p>
            <w:r>
              <w:rPr>
                <w:rFonts w:ascii="Calibri" w:hAnsi="Calibri"/>
                <w:sz w:val="22"/>
              </w:rPr>
              <w:t>18.2%</w:t>
            </w:r>
          </w:p>
        </w:tc>
        <w:tc>
          <w:tcPr>
            <w:tcW w:type="dxa" w:w="960"/>
          </w:tcPr>
          <w:p>
            <w:r>
              <w:rPr>
                <w:rFonts w:ascii="Calibri" w:hAnsi="Calibri"/>
                <w:b/>
                <w:color w:val="30A46C"/>
                <w:sz w:val="22"/>
              </w:rPr>
              <w:t>+220 bps</w:t>
            </w:r>
          </w:p>
        </w:tc>
        <w:tc>
          <w:tcPr>
            <w:tcW w:type="dxa" w:w="960"/>
          </w:tcPr>
          <w:p>
            <w:r>
              <w:rPr>
                <w:rFonts w:ascii="Calibri" w:hAnsi="Calibri"/>
                <w:b/>
                <w:color w:val="30A46C"/>
                <w:sz w:val="22"/>
              </w:rPr>
              <w:t>Beat</w:t>
            </w:r>
          </w:p>
        </w:tc>
      </w:tr>
      <w:tr>
        <w:tc>
          <w:tcPr>
            <w:tcW w:type="dxa" w:w="960"/>
          </w:tcPr>
          <w:p>
            <w:r>
              <w:rPr>
                <w:rFonts w:ascii="Calibri" w:hAnsi="Calibri"/>
                <w:sz w:val="22"/>
              </w:rPr>
              <w:t>Q3 FY2025</w:t>
            </w:r>
          </w:p>
        </w:tc>
        <w:tc>
          <w:tcPr>
            <w:tcW w:type="dxa" w:w="960"/>
          </w:tcPr>
          <w:p>
            <w:r>
              <w:rPr>
                <w:rFonts w:ascii="Calibri" w:hAnsi="Calibri"/>
                <w:sz w:val="22"/>
              </w:rPr>
              <w:t>$2.86</w:t>
            </w:r>
          </w:p>
        </w:tc>
        <w:tc>
          <w:tcPr>
            <w:tcW w:type="dxa" w:w="960"/>
          </w:tcPr>
          <w:p>
            <w:r>
              <w:rPr>
                <w:rFonts w:ascii="Calibri" w:hAnsi="Calibri"/>
                <w:sz w:val="22"/>
              </w:rPr>
              <w:t>$2.70</w:t>
            </w:r>
          </w:p>
        </w:tc>
        <w:tc>
          <w:tcPr>
            <w:tcW w:type="dxa" w:w="960"/>
          </w:tcPr>
          <w:p>
            <w:r>
              <w:rPr>
                <w:rFonts w:ascii="Calibri" w:hAnsi="Calibri"/>
                <w:b/>
                <w:color w:val="30A46C"/>
                <w:sz w:val="22"/>
              </w:rPr>
              <w:t>+5.9%</w:t>
            </w:r>
          </w:p>
        </w:tc>
        <w:tc>
          <w:tcPr>
            <w:tcW w:type="dxa" w:w="960"/>
          </w:tcPr>
          <w:p>
            <w:r>
              <w:rPr>
                <w:rFonts w:ascii="Calibri" w:hAnsi="Calibri"/>
                <w:b/>
                <w:color w:val="30A46C"/>
                <w:sz w:val="22"/>
              </w:rPr>
              <w:t>Beat</w:t>
            </w:r>
          </w:p>
        </w:tc>
        <w:tc>
          <w:tcPr>
            <w:tcW w:type="dxa" w:w="960"/>
          </w:tcPr>
          <w:p>
            <w:r>
              <w:rPr>
                <w:rFonts w:ascii="Calibri" w:hAnsi="Calibri"/>
                <w:sz w:val="22"/>
              </w:rPr>
              <w:t>21.2%</w:t>
            </w:r>
          </w:p>
        </w:tc>
        <w:tc>
          <w:tcPr>
            <w:tcW w:type="dxa" w:w="960"/>
          </w:tcPr>
          <w:p>
            <w:r>
              <w:rPr>
                <w:rFonts w:ascii="Calibri" w:hAnsi="Calibri"/>
                <w:sz w:val="22"/>
              </w:rPr>
              <w:t>21.4%</w:t>
            </w:r>
          </w:p>
        </w:tc>
        <w:tc>
          <w:tcPr>
            <w:tcW w:type="dxa" w:w="960"/>
          </w:tcPr>
          <w:p>
            <w:r>
              <w:rPr>
                <w:rFonts w:ascii="Calibri" w:hAnsi="Calibri"/>
                <w:b/>
                <w:color w:val="E5484D"/>
                <w:sz w:val="22"/>
              </w:rPr>
              <w:t>-20 bps</w:t>
            </w:r>
          </w:p>
        </w:tc>
        <w:tc>
          <w:tcPr>
            <w:tcW w:type="dxa" w:w="960"/>
          </w:tcPr>
          <w:p>
            <w:r>
              <w:rPr>
                <w:rFonts w:ascii="Calibri" w:hAnsi="Calibri"/>
                <w:b/>
                <w:color w:val="E5484D"/>
                <w:sz w:val="22"/>
              </w:rPr>
              <w:t>Miss</w:t>
            </w:r>
          </w:p>
        </w:tc>
      </w:tr>
      <w:tr>
        <w:tc>
          <w:tcPr>
            <w:tcW w:type="dxa" w:w="960"/>
          </w:tcPr>
          <w:p>
            <w:r>
              <w:rPr>
                <w:rFonts w:ascii="Calibri" w:hAnsi="Calibri"/>
                <w:sz w:val="22"/>
              </w:rPr>
              <w:t>Q4 FY2025</w:t>
            </w:r>
          </w:p>
        </w:tc>
        <w:tc>
          <w:tcPr>
            <w:tcW w:type="dxa" w:w="960"/>
          </w:tcPr>
          <w:p>
            <w:r>
              <w:rPr>
                <w:rFonts w:ascii="Calibri" w:hAnsi="Calibri"/>
                <w:sz w:val="22"/>
              </w:rPr>
              <w:t>$3.34</w:t>
            </w:r>
          </w:p>
        </w:tc>
        <w:tc>
          <w:tcPr>
            <w:tcW w:type="dxa" w:w="960"/>
          </w:tcPr>
          <w:p>
            <w:r>
              <w:rPr>
                <w:rFonts w:ascii="Calibri" w:hAnsi="Calibri"/>
                <w:sz w:val="22"/>
              </w:rPr>
              <w:t>$2.93</w:t>
            </w:r>
          </w:p>
        </w:tc>
        <w:tc>
          <w:tcPr>
            <w:tcW w:type="dxa" w:w="960"/>
          </w:tcPr>
          <w:p>
            <w:r>
              <w:rPr>
                <w:rFonts w:ascii="Calibri" w:hAnsi="Calibri"/>
                <w:b/>
                <w:color w:val="30A46C"/>
                <w:sz w:val="22"/>
              </w:rPr>
              <w:t>+14.0%</w:t>
            </w:r>
          </w:p>
        </w:tc>
        <w:tc>
          <w:tcPr>
            <w:tcW w:type="dxa" w:w="960"/>
          </w:tcPr>
          <w:p>
            <w:r>
              <w:rPr>
                <w:rFonts w:ascii="Calibri" w:hAnsi="Calibri"/>
                <w:b/>
                <w:color w:val="30A46C"/>
                <w:sz w:val="22"/>
              </w:rPr>
              <w:t>Beat</w:t>
            </w:r>
          </w:p>
        </w:tc>
        <w:tc>
          <w:tcPr>
            <w:tcW w:type="dxa" w:w="960"/>
          </w:tcPr>
          <w:p>
            <w:r>
              <w:rPr>
                <w:rFonts w:ascii="Calibri" w:hAnsi="Calibri"/>
                <w:sz w:val="22"/>
              </w:rPr>
              <w:t>22.5%</w:t>
            </w:r>
          </w:p>
        </w:tc>
        <w:tc>
          <w:tcPr>
            <w:tcW w:type="dxa" w:w="960"/>
          </w:tcPr>
          <w:p>
            <w:r>
              <w:rPr>
                <w:rFonts w:ascii="Calibri" w:hAnsi="Calibri"/>
                <w:sz w:val="22"/>
              </w:rPr>
              <w:t>21.5%</w:t>
            </w:r>
          </w:p>
        </w:tc>
        <w:tc>
          <w:tcPr>
            <w:tcW w:type="dxa" w:w="960"/>
          </w:tcPr>
          <w:p>
            <w:r>
              <w:rPr>
                <w:rFonts w:ascii="Calibri" w:hAnsi="Calibri"/>
                <w:b/>
                <w:color w:val="30A46C"/>
                <w:sz w:val="22"/>
              </w:rPr>
              <w:t>+100 bps</w:t>
            </w:r>
          </w:p>
        </w:tc>
        <w:tc>
          <w:tcPr>
            <w:tcW w:type="dxa" w:w="960"/>
          </w:tcPr>
          <w:p>
            <w:r>
              <w:rPr>
                <w:rFonts w:ascii="Calibri" w:hAnsi="Calibri"/>
                <w:b/>
                <w:color w:val="30A46C"/>
                <w:sz w:val="22"/>
              </w:rPr>
              <w:t>Beat</w:t>
            </w:r>
          </w:p>
        </w:tc>
      </w:tr>
      <w:tr>
        <w:tc>
          <w:tcPr>
            <w:tcW w:type="dxa" w:w="960"/>
          </w:tcPr>
          <w:p>
            <w:r>
              <w:rPr>
                <w:rFonts w:ascii="Calibri" w:hAnsi="Calibri"/>
                <w:sz w:val="22"/>
              </w:rPr>
              <w:t>Q1 FY2026</w:t>
            </w:r>
          </w:p>
        </w:tc>
        <w:tc>
          <w:tcPr>
            <w:tcW w:type="dxa" w:w="960"/>
          </w:tcPr>
          <w:p>
            <w:r>
              <w:rPr>
                <w:rFonts w:ascii="Calibri" w:hAnsi="Calibri"/>
                <w:sz w:val="22"/>
              </w:rPr>
              <w:t>$2.75</w:t>
            </w:r>
          </w:p>
        </w:tc>
        <w:tc>
          <w:tcPr>
            <w:tcW w:type="dxa" w:w="960"/>
          </w:tcPr>
          <w:p>
            <w:r>
              <w:rPr>
                <w:rFonts w:ascii="Calibri" w:hAnsi="Calibri"/>
                <w:sz w:val="22"/>
              </w:rPr>
              <w:t>$2.50</w:t>
            </w:r>
          </w:p>
        </w:tc>
        <w:tc>
          <w:tcPr>
            <w:tcW w:type="dxa" w:w="960"/>
          </w:tcPr>
          <w:p>
            <w:r>
              <w:rPr>
                <w:rFonts w:ascii="Calibri" w:hAnsi="Calibri"/>
                <w:b/>
                <w:color w:val="30A46C"/>
                <w:sz w:val="22"/>
              </w:rPr>
              <w:t>+10.0%</w:t>
            </w:r>
          </w:p>
        </w:tc>
        <w:tc>
          <w:tcPr>
            <w:tcW w:type="dxa" w:w="960"/>
          </w:tcPr>
          <w:p>
            <w:r>
              <w:rPr>
                <w:rFonts w:ascii="Calibri" w:hAnsi="Calibri"/>
                <w:b/>
                <w:color w:val="30A46C"/>
                <w:sz w:val="22"/>
              </w:rPr>
              <w:t>Beat</w:t>
            </w:r>
          </w:p>
        </w:tc>
        <w:tc>
          <w:tcPr>
            <w:tcW w:type="dxa" w:w="960"/>
          </w:tcPr>
          <w:p>
            <w:r>
              <w:rPr>
                <w:rFonts w:ascii="Calibri" w:hAnsi="Calibri"/>
                <w:sz w:val="22"/>
              </w:rPr>
              <w:t>20.7%</w:t>
            </w:r>
          </w:p>
        </w:tc>
        <w:tc>
          <w:tcPr>
            <w:tcW w:type="dxa" w:w="960"/>
          </w:tcPr>
          <w:p>
            <w:r>
              <w:rPr>
                <w:rFonts w:ascii="Calibri" w:hAnsi="Calibri"/>
                <w:sz w:val="22"/>
              </w:rPr>
              <w:t>19.8%</w:t>
            </w:r>
          </w:p>
        </w:tc>
        <w:tc>
          <w:tcPr>
            <w:tcW w:type="dxa" w:w="960"/>
          </w:tcPr>
          <w:p>
            <w:r>
              <w:rPr>
                <w:rFonts w:ascii="Calibri" w:hAnsi="Calibri"/>
                <w:b/>
                <w:color w:val="30A46C"/>
                <w:sz w:val="22"/>
              </w:rPr>
              <w:t>+90 bps</w:t>
            </w:r>
          </w:p>
        </w:tc>
        <w:tc>
          <w:tcPr>
            <w:tcW w:type="dxa" w:w="960"/>
          </w:tcPr>
          <w:p>
            <w:r>
              <w:rPr>
                <w:rFonts w:ascii="Calibri" w:hAnsi="Calibri"/>
                <w:b/>
                <w:color w:val="30A46C"/>
                <w:sz w:val="22"/>
              </w:rPr>
              <w:t>Beat</w:t>
            </w:r>
          </w:p>
        </w:tc>
      </w:tr>
      <w:tr>
        <w:tc>
          <w:tcPr>
            <w:tcW w:type="dxa" w:w="960"/>
          </w:tcPr>
          <w:p>
            <w:r>
              <w:rPr>
                <w:rFonts w:ascii="Calibri" w:hAnsi="Calibri"/>
                <w:sz w:val="22"/>
              </w:rPr>
              <w:t>Q2 FY2026</w:t>
            </w:r>
          </w:p>
        </w:tc>
        <w:tc>
          <w:tcPr>
            <w:tcW w:type="dxa" w:w="960"/>
          </w:tcPr>
          <w:p>
            <w:r>
              <w:rPr>
                <w:rFonts w:ascii="Calibri" w:hAnsi="Calibri"/>
                <w:sz w:val="22"/>
              </w:rPr>
              <w:t>$3.30</w:t>
            </w:r>
          </w:p>
        </w:tc>
        <w:tc>
          <w:tcPr>
            <w:tcW w:type="dxa" w:w="960"/>
          </w:tcPr>
          <w:p>
            <w:r>
              <w:rPr>
                <w:rFonts w:ascii="Calibri" w:hAnsi="Calibri"/>
                <w:sz w:val="22"/>
              </w:rPr>
              <w:t>$2.89</w:t>
            </w:r>
          </w:p>
        </w:tc>
        <w:tc>
          <w:tcPr>
            <w:tcW w:type="dxa" w:w="960"/>
          </w:tcPr>
          <w:p>
            <w:r>
              <w:rPr>
                <w:rFonts w:ascii="Calibri" w:hAnsi="Calibri"/>
                <w:b/>
                <w:color w:val="30A46C"/>
                <w:sz w:val="22"/>
              </w:rPr>
              <w:t>+14.2%</w:t>
            </w:r>
          </w:p>
        </w:tc>
        <w:tc>
          <w:tcPr>
            <w:tcW w:type="dxa" w:w="960"/>
          </w:tcPr>
          <w:p>
            <w:r>
              <w:rPr>
                <w:rFonts w:ascii="Calibri" w:hAnsi="Calibri"/>
                <w:b/>
                <w:color w:val="30A46C"/>
                <w:sz w:val="22"/>
              </w:rPr>
              <w:t>Beat</w:t>
            </w:r>
          </w:p>
        </w:tc>
        <w:tc>
          <w:tcPr>
            <w:tcW w:type="dxa" w:w="960"/>
          </w:tcPr>
          <w:p>
            <w:r>
              <w:rPr>
                <w:rFonts w:ascii="Calibri" w:hAnsi="Calibri"/>
                <w:sz w:val="22"/>
              </w:rPr>
              <w:t>23.7%</w:t>
            </w:r>
          </w:p>
        </w:tc>
        <w:tc>
          <w:tcPr>
            <w:tcW w:type="dxa" w:w="960"/>
          </w:tcPr>
          <w:p>
            <w:r>
              <w:rPr>
                <w:rFonts w:ascii="Calibri" w:hAnsi="Calibri"/>
                <w:sz w:val="22"/>
              </w:rPr>
              <w:t>21.3%</w:t>
            </w:r>
          </w:p>
        </w:tc>
        <w:tc>
          <w:tcPr>
            <w:tcW w:type="dxa" w:w="960"/>
          </w:tcPr>
          <w:p>
            <w:r>
              <w:rPr>
                <w:rFonts w:ascii="Calibri" w:hAnsi="Calibri"/>
                <w:b/>
                <w:color w:val="30A46C"/>
                <w:sz w:val="22"/>
              </w:rPr>
              <w:t>+240 bps</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ROK has beaten on adjusted EPS in all 8 of the last 8 quarters, with an average surprise of +14.4%; segment operating margin has beaten in 7 of 8 quarters, with the lone miss (Q3 FY2025, -20 bps) driven by mix rather than volume. The consistent beat cadence has raised the bar — the street now embeds a modest beat into consensus, meaning a merely in-line print could disappoint.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materially raised at Q2 earnings (May 5, 2026) — full-year EPS midpoint lifted ~$1.00 to $12.80 and organic growth raised to 5–9%. No post-earnings guidance revisions have been issued; </w:t>
      </w:r>
      <w:r>
        <w:rPr>
          <w:rFonts w:ascii="Calibri" w:hAnsi="Calibri"/>
          <w:b/>
          <w:color w:val="525866"/>
          <w:sz w:val="22"/>
        </w:rPr>
        <w:t>tone at the Wolfe Conference (May 7) was consistent with the raised guide</w:t>
      </w:r>
      <w:r>
        <w:rPr>
          <w:rFonts w:ascii="Calibri" w:hAnsi="Calibri"/>
          <w:color w:val="525866"/>
          <w:sz w:val="22"/>
        </w:rPr>
        <w: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Reported Sales Growth</w:t>
            </w:r>
          </w:p>
        </w:tc>
        <w:tc>
          <w:tcPr>
            <w:tcW w:type="dxa" w:w="1728"/>
          </w:tcPr>
          <w:p>
            <w:r>
              <w:rPr>
                <w:rFonts w:ascii="Calibri" w:hAnsi="Calibri"/>
                <w:sz w:val="22"/>
              </w:rPr>
              <w:t>5%–9% (midpoint ~$8.9B)</w:t>
            </w:r>
          </w:p>
        </w:tc>
        <w:tc>
          <w:tcPr>
            <w:tcW w:type="dxa" w:w="1728"/>
          </w:tcPr>
          <w:p>
            <w:r>
              <w:rPr>
                <w:rFonts w:ascii="Calibri" w:hAnsi="Calibri"/>
                <w:sz w:val="22"/>
              </w:rPr>
              <w:t>—</w:t>
            </w:r>
          </w:p>
        </w:tc>
        <w:tc>
          <w:tcPr>
            <w:tcW w:type="dxa" w:w="1728"/>
          </w:tcPr>
          <w:p>
            <w:r>
              <w:rPr>
                <w:rFonts w:ascii="Calibri" w:hAnsi="Calibri"/>
                <w:sz w:val="22"/>
              </w:rPr>
              <w:t>~$8.9B</w:t>
            </w:r>
          </w:p>
        </w:tc>
        <w:tc>
          <w:tcPr>
            <w:tcW w:type="dxa" w:w="1728"/>
          </w:tcPr>
          <w:p>
            <w:r>
              <w:rPr>
                <w:rFonts w:ascii="Calibri" w:hAnsi="Calibri"/>
                <w:sz w:val="22"/>
              </w:rPr>
              <w:t>Raised from prior ~$8.8B midpoint; no post-earnings change</w:t>
            </w:r>
          </w:p>
        </w:tc>
      </w:tr>
      <w:tr>
        <w:tc>
          <w:tcPr>
            <w:tcW w:type="dxa" w:w="1728"/>
          </w:tcPr>
          <w:p>
            <w:r>
              <w:rPr>
                <w:rFonts w:ascii="Calibri" w:hAnsi="Calibri"/>
                <w:sz w:val="22"/>
              </w:rPr>
              <w:t>FY2026 Organic Sales Growth</w:t>
            </w:r>
          </w:p>
        </w:tc>
        <w:tc>
          <w:tcPr>
            <w:tcW w:type="dxa" w:w="1728"/>
          </w:tcPr>
          <w:p>
            <w:r>
              <w:rPr>
                <w:rFonts w:ascii="Calibri" w:hAnsi="Calibri"/>
                <w:sz w:val="22"/>
              </w:rPr>
              <w:t>5%–9% (midpoint ~7%)</w:t>
            </w:r>
          </w:p>
        </w:tc>
        <w:tc>
          <w:tcPr>
            <w:tcW w:type="dxa" w:w="1728"/>
          </w:tcPr>
          <w:p>
            <w:r>
              <w:rPr>
                <w:rFonts w:ascii="Calibri" w:hAnsi="Calibri"/>
                <w:sz w:val="22"/>
              </w:rPr>
              <w:t>—</w:t>
            </w:r>
          </w:p>
        </w:tc>
        <w:tc>
          <w:tcPr>
            <w:tcW w:type="dxa" w:w="1728"/>
          </w:tcPr>
          <w:p>
            <w:r>
              <w:rPr>
                <w:rFonts w:ascii="Calibri" w:hAnsi="Calibri"/>
                <w:sz w:val="22"/>
              </w:rPr>
              <w:t>~7%</w:t>
            </w:r>
          </w:p>
        </w:tc>
        <w:tc>
          <w:tcPr>
            <w:tcW w:type="dxa" w:w="1728"/>
          </w:tcPr>
          <w:p>
            <w:r>
              <w:rPr>
                <w:rFonts w:ascii="Calibri" w:hAnsi="Calibri"/>
                <w:sz w:val="22"/>
              </w:rPr>
              <w:t>Raised ~200 bps at midpoint vs. prior guide; unchanged since</w:t>
            </w:r>
          </w:p>
        </w:tc>
      </w:tr>
      <w:tr>
        <w:tc>
          <w:tcPr>
            <w:tcW w:type="dxa" w:w="1728"/>
          </w:tcPr>
          <w:p>
            <w:r>
              <w:rPr>
                <w:rFonts w:ascii="Calibri" w:hAnsi="Calibri"/>
                <w:sz w:val="22"/>
              </w:rPr>
              <w:t>FY2026 Adj. EPS</w:t>
            </w:r>
          </w:p>
        </w:tc>
        <w:tc>
          <w:tcPr>
            <w:tcW w:type="dxa" w:w="1728"/>
          </w:tcPr>
          <w:p>
            <w:r>
              <w:rPr>
                <w:rFonts w:ascii="Calibri" w:hAnsi="Calibri"/>
                <w:sz w:val="22"/>
              </w:rPr>
              <w:t>$12.50–$13.10 (midpoint $12.80)</w:t>
            </w:r>
          </w:p>
        </w:tc>
        <w:tc>
          <w:tcPr>
            <w:tcW w:type="dxa" w:w="1728"/>
          </w:tcPr>
          <w:p>
            <w:r>
              <w:rPr>
                <w:rFonts w:ascii="Calibri" w:hAnsi="Calibri"/>
                <w:sz w:val="22"/>
              </w:rPr>
              <w:t>—</w:t>
            </w:r>
          </w:p>
        </w:tc>
        <w:tc>
          <w:tcPr>
            <w:tcW w:type="dxa" w:w="1728"/>
          </w:tcPr>
          <w:p>
            <w:r>
              <w:rPr>
                <w:rFonts w:ascii="Calibri" w:hAnsi="Calibri"/>
                <w:sz w:val="22"/>
              </w:rPr>
              <w:t>~$12.80</w:t>
            </w:r>
          </w:p>
        </w:tc>
        <w:tc>
          <w:tcPr>
            <w:tcW w:type="dxa" w:w="1728"/>
          </w:tcPr>
          <w:p>
            <w:r>
              <w:rPr>
                <w:rFonts w:ascii="Calibri" w:hAnsi="Calibri"/>
                <w:sz w:val="22"/>
              </w:rPr>
              <w:t>↑ Raised $1.00 at midpoint vs. prior guide; no post-earnings change</w:t>
            </w:r>
          </w:p>
        </w:tc>
      </w:tr>
      <w:tr>
        <w:tc>
          <w:tcPr>
            <w:tcW w:type="dxa" w:w="1728"/>
          </w:tcPr>
          <w:p>
            <w:r>
              <w:rPr>
                <w:rFonts w:ascii="Calibri" w:hAnsi="Calibri"/>
                <w:sz w:val="22"/>
              </w:rPr>
              <w:t>FY2026 Enterprise Op. Margin</w:t>
            </w:r>
          </w:p>
        </w:tc>
        <w:tc>
          <w:tcPr>
            <w:tcW w:type="dxa" w:w="1728"/>
          </w:tcPr>
          <w:p>
            <w:r>
              <w:rPr>
                <w:rFonts w:ascii="Calibri" w:hAnsi="Calibri"/>
                <w:sz w:val="22"/>
              </w:rPr>
              <w:t>~21.5%</w:t>
            </w:r>
          </w:p>
        </w:tc>
        <w:tc>
          <w:tcPr>
            <w:tcW w:type="dxa" w:w="1728"/>
          </w:tcPr>
          <w:p>
            <w:r>
              <w:rPr>
                <w:rFonts w:ascii="Calibri" w:hAnsi="Calibri"/>
                <w:sz w:val="22"/>
              </w:rPr>
              <w:t>—</w:t>
            </w:r>
          </w:p>
        </w:tc>
        <w:tc>
          <w:tcPr>
            <w:tcW w:type="dxa" w:w="1728"/>
          </w:tcPr>
          <w:p>
            <w:r>
              <w:rPr>
                <w:rFonts w:ascii="Calibri" w:hAnsi="Calibri"/>
                <w:sz w:val="22"/>
              </w:rPr>
              <w:t>~21.5%</w:t>
            </w:r>
          </w:p>
        </w:tc>
        <w:tc>
          <w:tcPr>
            <w:tcW w:type="dxa" w:w="1728"/>
          </w:tcPr>
          <w:p>
            <w:r>
              <w:rPr>
                <w:rFonts w:ascii="Calibri" w:hAnsi="Calibri"/>
                <w:sz w:val="22"/>
              </w:rPr>
              <w:t>↑ Raised from ~20% prior guide; incrementals now &gt;50% vs. ~40% original</w:t>
            </w:r>
          </w:p>
        </w:tc>
      </w:tr>
      <w:tr>
        <w:tc>
          <w:tcPr>
            <w:tcW w:type="dxa" w:w="1728"/>
          </w:tcPr>
          <w:p>
            <w:r>
              <w:rPr>
                <w:rFonts w:ascii="Calibri" w:hAnsi="Calibri"/>
                <w:sz w:val="22"/>
              </w:rPr>
              <w:t>FY2026 ARR Growth</w:t>
            </w:r>
          </w:p>
        </w:tc>
        <w:tc>
          <w:tcPr>
            <w:tcW w:type="dxa" w:w="1728"/>
          </w:tcPr>
          <w:p>
            <w:r>
              <w:rPr>
                <w:rFonts w:ascii="Calibri" w:hAnsi="Calibri"/>
                <w:sz w:val="22"/>
              </w:rPr>
              <w:t>High single digits (organic)</w:t>
            </w:r>
          </w:p>
        </w:tc>
        <w:tc>
          <w:tcPr>
            <w:tcW w:type="dxa" w:w="1728"/>
          </w:tcPr>
          <w:p>
            <w:r>
              <w:rPr>
                <w:rFonts w:ascii="Calibri" w:hAnsi="Calibri"/>
                <w:sz w:val="22"/>
              </w:rPr>
              <w:t>—</w:t>
            </w:r>
          </w:p>
        </w:tc>
        <w:tc>
          <w:tcPr>
            <w:tcW w:type="dxa" w:w="1728"/>
          </w:tcPr>
          <w:p>
            <w:r>
              <w:rPr>
                <w:rFonts w:ascii="Calibri" w:hAnsi="Calibri"/>
                <w:sz w:val="22"/>
              </w:rPr>
              <w:t>High single digits</w:t>
            </w:r>
          </w:p>
        </w:tc>
        <w:tc>
          <w:tcPr>
            <w:tcW w:type="dxa" w:w="1728"/>
          </w:tcPr>
          <w:p>
            <w:r>
              <w:rPr>
                <w:rFonts w:ascii="Calibri" w:hAnsi="Calibri"/>
                <w:sz w:val="22"/>
              </w:rPr>
              <w:t>Unchanged; software ARR growing faster than services</w:t>
            </w:r>
          </w:p>
        </w:tc>
      </w:tr>
      <w:tr>
        <w:tc>
          <w:tcPr>
            <w:tcW w:type="dxa" w:w="1728"/>
          </w:tcPr>
          <w:p>
            <w:r>
              <w:rPr>
                <w:rFonts w:ascii="Calibri" w:hAnsi="Calibri"/>
                <w:sz w:val="22"/>
              </w:rPr>
              <w:t>FY2026 Free Cash Flow</w:t>
            </w:r>
          </w:p>
        </w:tc>
        <w:tc>
          <w:tcPr>
            <w:tcW w:type="dxa" w:w="1728"/>
          </w:tcPr>
          <w:p>
            <w:r>
              <w:rPr>
                <w:rFonts w:ascii="Calibri" w:hAnsi="Calibri"/>
                <w:sz w:val="22"/>
              </w:rPr>
              <w:t>~100% conversion</w:t>
            </w:r>
          </w:p>
        </w:tc>
        <w:tc>
          <w:tcPr>
            <w:tcW w:type="dxa" w:w="1728"/>
          </w:tcPr>
          <w:p>
            <w:r>
              <w:rPr>
                <w:rFonts w:ascii="Calibri" w:hAnsi="Calibri"/>
                <w:sz w:val="22"/>
              </w:rPr>
              <w:t>—</w:t>
            </w:r>
          </w:p>
        </w:tc>
        <w:tc>
          <w:tcPr>
            <w:tcW w:type="dxa" w:w="1728"/>
          </w:tcPr>
          <w:p>
            <w:r>
              <w:rPr>
                <w:rFonts w:ascii="Calibri" w:hAnsi="Calibri"/>
                <w:sz w:val="22"/>
              </w:rPr>
              <w:t>~100% conversion</w:t>
            </w:r>
          </w:p>
        </w:tc>
        <w:tc>
          <w:tcPr>
            <w:tcW w:type="dxa" w:w="1728"/>
          </w:tcPr>
          <w:p>
            <w:r>
              <w:rPr>
                <w:rFonts w:ascii="Calibri" w:hAnsi="Calibri"/>
                <w:sz w:val="22"/>
              </w:rPr>
              <w:t>Unchanged; CapEx ~3% of sales</w:t>
            </w:r>
          </w:p>
        </w:tc>
      </w:tr>
      <w:tr>
        <w:tc>
          <w:tcPr>
            <w:tcW w:type="dxa" w:w="1728"/>
          </w:tcPr>
          <w:p>
            <w:r>
              <w:rPr>
                <w:rFonts w:ascii="Calibri" w:hAnsi="Calibri"/>
                <w:sz w:val="22"/>
              </w:rPr>
              <w:t>FY2026 Total Price</w:t>
            </w:r>
          </w:p>
        </w:tc>
        <w:tc>
          <w:tcPr>
            <w:tcW w:type="dxa" w:w="1728"/>
          </w:tcPr>
          <w:p>
            <w:r>
              <w:rPr>
                <w:rFonts w:ascii="Calibri" w:hAnsi="Calibri"/>
                <w:sz w:val="22"/>
              </w:rPr>
              <w:t>~250 bps (~150 bps underlying + ~100 bps tariff)</w:t>
            </w:r>
          </w:p>
        </w:tc>
        <w:tc>
          <w:tcPr>
            <w:tcW w:type="dxa" w:w="1728"/>
          </w:tcPr>
          <w:p>
            <w:r>
              <w:rPr>
                <w:rFonts w:ascii="Calibri" w:hAnsi="Calibri"/>
                <w:sz w:val="22"/>
              </w:rPr>
              <w:t>—</w:t>
            </w:r>
          </w:p>
        </w:tc>
        <w:tc>
          <w:tcPr>
            <w:tcW w:type="dxa" w:w="1728"/>
          </w:tcPr>
          <w:p>
            <w:r>
              <w:rPr>
                <w:rFonts w:ascii="Calibri" w:hAnsi="Calibri"/>
                <w:sz w:val="22"/>
              </w:rPr>
              <w:t>~250 bps</w:t>
            </w:r>
          </w:p>
        </w:tc>
        <w:tc>
          <w:tcPr>
            <w:tcW w:type="dxa" w:w="1728"/>
          </w:tcPr>
          <w:p>
            <w:r>
              <w:rPr>
                <w:rFonts w:ascii="Calibri" w:hAnsi="Calibri"/>
                <w:sz w:val="22"/>
              </w:rPr>
              <w:t>↑ +50 bps vs. prior guide (all from underlying price)</w:t>
            </w:r>
          </w:p>
        </w:tc>
      </w:tr>
      <w:tr>
        <w:tc>
          <w:tcPr>
            <w:tcW w:type="dxa" w:w="1728"/>
          </w:tcPr>
          <w:p>
            <w:r>
              <w:rPr>
                <w:rFonts w:ascii="Calibri" w:hAnsi="Calibri"/>
                <w:sz w:val="22"/>
              </w:rPr>
              <w:t>Q3 FY2026 Adj. EPS</w:t>
            </w:r>
          </w:p>
        </w:tc>
        <w:tc>
          <w:tcPr>
            <w:tcW w:type="dxa" w:w="1728"/>
          </w:tcPr>
          <w:p>
            <w:r>
              <w:rPr>
                <w:rFonts w:ascii="Calibri" w:hAnsi="Calibri"/>
                <w:sz w:val="22"/>
              </w:rPr>
              <w:t>~$3.35 (up ~$0.05 seq.; mid-to-high teens YoY)</w:t>
            </w:r>
          </w:p>
        </w:tc>
        <w:tc>
          <w:tcPr>
            <w:tcW w:type="dxa" w:w="1728"/>
          </w:tcPr>
          <w:p>
            <w:r>
              <w:rPr>
                <w:rFonts w:ascii="Calibri" w:hAnsi="Calibri"/>
                <w:sz w:val="22"/>
              </w:rPr>
              <w:t>—</w:t>
            </w:r>
          </w:p>
        </w:tc>
        <w:tc>
          <w:tcPr>
            <w:tcW w:type="dxa" w:w="1728"/>
          </w:tcPr>
          <w:p>
            <w:r>
              <w:rPr>
                <w:rFonts w:ascii="Calibri" w:hAnsi="Calibri"/>
                <w:sz w:val="22"/>
              </w:rPr>
              <w:t>$3.39</w:t>
            </w:r>
          </w:p>
        </w:tc>
        <w:tc>
          <w:tcPr>
            <w:tcW w:type="dxa" w:w="1728"/>
          </w:tcPr>
          <w:p>
            <w:r>
              <w:rPr>
                <w:rFonts w:ascii="Calibri" w:hAnsi="Calibri"/>
                <w:sz w:val="22"/>
              </w:rPr>
              <w:t>Consensus slightly above management implied midpoint (+1.2%)</w:t>
            </w:r>
          </w:p>
        </w:tc>
      </w:tr>
      <w:tr>
        <w:tc>
          <w:tcPr>
            <w:tcW w:type="dxa" w:w="1728"/>
          </w:tcPr>
          <w:p>
            <w:r>
              <w:rPr>
                <w:rFonts w:ascii="Calibri" w:hAnsi="Calibri"/>
                <w:sz w:val="22"/>
              </w:rPr>
              <w:t>Q3 FY2026 Sales</w:t>
            </w:r>
          </w:p>
        </w:tc>
        <w:tc>
          <w:tcPr>
            <w:tcW w:type="dxa" w:w="1728"/>
          </w:tcPr>
          <w:p>
            <w:r>
              <w:rPr>
                <w:rFonts w:ascii="Calibri" w:hAnsi="Calibri"/>
                <w:sz w:val="22"/>
              </w:rPr>
              <w:t>~Flat seq. (~$2,239M implied); ~$50M Sensia headwind offset by ID growth</w:t>
            </w:r>
          </w:p>
        </w:tc>
        <w:tc>
          <w:tcPr>
            <w:tcW w:type="dxa" w:w="1728"/>
          </w:tcPr>
          <w:p>
            <w:r>
              <w:rPr>
                <w:rFonts w:ascii="Calibri" w:hAnsi="Calibri"/>
                <w:sz w:val="22"/>
              </w:rPr>
              <w:t>—</w:t>
            </w:r>
          </w:p>
        </w:tc>
        <w:tc>
          <w:tcPr>
            <w:tcW w:type="dxa" w:w="1728"/>
          </w:tcPr>
          <w:p>
            <w:r>
              <w:rPr>
                <w:rFonts w:ascii="Calibri" w:hAnsi="Calibri"/>
                <w:sz w:val="22"/>
              </w:rPr>
              <w:t>$2,249M</w:t>
            </w:r>
          </w:p>
        </w:tc>
        <w:tc>
          <w:tcPr>
            <w:tcW w:type="dxa" w:w="1728"/>
          </w:tcPr>
          <w:p>
            <w:r>
              <w:rPr>
                <w:rFonts w:ascii="Calibri" w:hAnsi="Calibri"/>
                <w:sz w:val="22"/>
              </w:rPr>
              <w:t>Consensus +0.5% above implied midpoint</w:t>
            </w:r>
          </w:p>
        </w:tc>
      </w:tr>
      <w:tr>
        <w:tc>
          <w:tcPr>
            <w:tcW w:type="dxa" w:w="1728"/>
          </w:tcPr>
          <w:p>
            <w:r>
              <w:rPr>
                <w:rFonts w:ascii="Calibri" w:hAnsi="Calibri"/>
                <w:sz w:val="22"/>
              </w:rPr>
              <w:t>S&amp;C Segment Margin (FY2026)</w:t>
            </w:r>
          </w:p>
        </w:tc>
        <w:tc>
          <w:tcPr>
            <w:tcW w:type="dxa" w:w="1728"/>
          </w:tcPr>
          <w:p>
            <w:r>
              <w:rPr>
                <w:rFonts w:ascii="Calibri" w:hAnsi="Calibri"/>
                <w:sz w:val="22"/>
              </w:rPr>
              <w:t>Low 30s%; several hundred bps expansion YoY</w:t>
            </w:r>
          </w:p>
        </w:tc>
        <w:tc>
          <w:tcPr>
            <w:tcW w:type="dxa" w:w="1728"/>
          </w:tcPr>
          <w:p>
            <w:r>
              <w:rPr>
                <w:rFonts w:ascii="Calibri" w:hAnsi="Calibri"/>
                <w:sz w:val="22"/>
              </w:rPr>
              <w:t>—</w:t>
            </w:r>
          </w:p>
        </w:tc>
        <w:tc>
          <w:tcPr>
            <w:tcW w:type="dxa" w:w="1728"/>
          </w:tcPr>
          <w:p>
            <w:r>
              <w:rPr>
                <w:rFonts w:ascii="Calibri" w:hAnsi="Calibri"/>
                <w:sz w:val="22"/>
              </w:rPr>
              <w:t>~33.7% Q3 est.</w:t>
            </w:r>
          </w:p>
        </w:tc>
        <w:tc>
          <w:tcPr>
            <w:tcW w:type="dxa" w:w="1728"/>
          </w:tcPr>
          <w:p>
            <w:r>
              <w:rPr>
                <w:rFonts w:ascii="Calibri" w:hAnsi="Calibri"/>
                <w:sz w:val="22"/>
              </w:rPr>
              <w:t>Q3 guided seq. lower due to memory chip cost inflation</w:t>
            </w:r>
          </w:p>
        </w:tc>
      </w:tr>
    </w:tbl>
    <w:p>
      <w:r>
        <w:rPr>
          <w:rFonts w:ascii="Calibri" w:hAnsi="Calibri"/>
          <w:i/>
          <w:color w:val="525866"/>
          <w:sz w:val="22"/>
        </w:rPr>
        <w:t>Source: ROK Q2 FY2026 Earnings Call transcript (May 5,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meaningfully higher since the Q2 print — Q3 EPS consensus is up ~$0.02 from the post-earnings baseline, and FY2026 EPS consensus is tracking at the midpoint of the raised guide. </w:t>
      </w:r>
      <w:r>
        <w:rPr>
          <w:rFonts w:ascii="Calibri" w:hAnsi="Calibri"/>
          <w:b/>
          <w:color w:val="525866"/>
          <w:sz w:val="22"/>
        </w:rPr>
        <w:t>Revisions are tracking with guidance, not diverging</w:t>
      </w:r>
      <w:r>
        <w:rPr>
          <w:rFonts w:ascii="Calibri" w:hAnsi="Calibri"/>
          <w:color w:val="525866"/>
          <w:sz w:val="22"/>
        </w:rPr>
        <w:t>, which is a healthy sign; the gap between consensus and guidance midpoint is narrow and represents modest cushion rather than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5/12/26)</w:t>
            </w:r>
          </w:p>
        </w:tc>
        <w:tc>
          <w:tcPr>
            <w:tcW w:type="dxa" w:w="1080"/>
            <w:shd w:val="clear" w:color="auto" w:fill="3B4259"/>
          </w:tcPr>
          <w:p>
            <w:r>
              <w:rPr>
                <w:rFonts w:ascii="Calibri" w:hAnsi="Calibri"/>
                <w:b/>
                <w:color w:val="FFFFFF"/>
                <w:sz w:val="22"/>
              </w:rPr>
              <w:t>Current Consensus (8/3/26)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Q3 FY2026</w:t>
            </w:r>
          </w:p>
        </w:tc>
        <w:tc>
          <w:tcPr>
            <w:tcW w:type="dxa" w:w="1080"/>
          </w:tcPr>
          <w:p>
            <w:r>
              <w:rPr>
                <w:rFonts w:ascii="Calibri" w:hAnsi="Calibri"/>
                <w:sz w:val="22"/>
              </w:rPr>
              <w:t>$3.38</w:t>
            </w:r>
          </w:p>
        </w:tc>
        <w:tc>
          <w:tcPr>
            <w:tcW w:type="dxa" w:w="1080"/>
          </w:tcPr>
          <w:p>
            <w:r>
              <w:rPr>
                <w:rFonts w:ascii="Calibri" w:hAnsi="Calibri"/>
                <w:sz w:val="22"/>
              </w:rPr>
              <w:t>$3.39</w:t>
            </w:r>
          </w:p>
        </w:tc>
        <w:tc>
          <w:tcPr>
            <w:tcW w:type="dxa" w:w="1080"/>
          </w:tcPr>
          <w:p>
            <w:r>
              <w:rPr>
                <w:rFonts w:ascii="Calibri" w:hAnsi="Calibri"/>
                <w:sz w:val="22"/>
              </w:rPr>
              <w:t>+0.3%</w:t>
            </w:r>
          </w:p>
        </w:tc>
        <w:tc>
          <w:tcPr>
            <w:tcW w:type="dxa" w:w="1080"/>
          </w:tcPr>
          <w:p>
            <w:r>
              <w:rPr>
                <w:rFonts w:ascii="Calibri" w:hAnsi="Calibri"/>
                <w:sz w:val="22"/>
              </w:rPr>
              <w:t>~$3.35 (up ~$0.05 seq.)</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midpoint</w:t>
            </w:r>
          </w:p>
        </w:tc>
      </w:tr>
      <w:tr>
        <w:tc>
          <w:tcPr>
            <w:tcW w:type="dxa" w:w="1080"/>
          </w:tcPr>
          <w:p>
            <w:r>
              <w:rPr>
                <w:rFonts w:ascii="Calibri" w:hAnsi="Calibri"/>
                <w:sz w:val="22"/>
              </w:rPr>
              <w:t>Net Sales — Q3 FY2026</w:t>
            </w:r>
          </w:p>
        </w:tc>
        <w:tc>
          <w:tcPr>
            <w:tcW w:type="dxa" w:w="1080"/>
          </w:tcPr>
          <w:p>
            <w:r>
              <w:rPr>
                <w:rFonts w:ascii="Calibri" w:hAnsi="Calibri"/>
                <w:sz w:val="22"/>
              </w:rPr>
              <w:t>$2,244M</w:t>
            </w:r>
          </w:p>
        </w:tc>
        <w:tc>
          <w:tcPr>
            <w:tcW w:type="dxa" w:w="1080"/>
          </w:tcPr>
          <w:p>
            <w:r>
              <w:rPr>
                <w:rFonts w:ascii="Calibri" w:hAnsi="Calibri"/>
                <w:sz w:val="22"/>
              </w:rPr>
              <w:t>$2,249M</w:t>
            </w:r>
          </w:p>
        </w:tc>
        <w:tc>
          <w:tcPr>
            <w:tcW w:type="dxa" w:w="1080"/>
          </w:tcPr>
          <w:p>
            <w:r>
              <w:rPr>
                <w:rFonts w:ascii="Calibri" w:hAnsi="Calibri"/>
                <w:sz w:val="22"/>
              </w:rPr>
              <w:t>+0.2%</w:t>
            </w:r>
          </w:p>
        </w:tc>
        <w:tc>
          <w:tcPr>
            <w:tcW w:type="dxa" w:w="1080"/>
          </w:tcPr>
          <w:p>
            <w:r>
              <w:rPr>
                <w:rFonts w:ascii="Calibri" w:hAnsi="Calibri"/>
                <w:sz w:val="22"/>
              </w:rPr>
              <w:t>~Flat seq. (~$2,239M)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Organic Growth — Q3 FY2026</w:t>
            </w:r>
          </w:p>
        </w:tc>
        <w:tc>
          <w:tcPr>
            <w:tcW w:type="dxa" w:w="1080"/>
          </w:tcPr>
          <w:p>
            <w:r>
              <w:rPr>
                <w:rFonts w:ascii="Calibri" w:hAnsi="Calibri"/>
                <w:sz w:val="22"/>
              </w:rPr>
              <w:t>~6.1%</w:t>
            </w:r>
          </w:p>
        </w:tc>
        <w:tc>
          <w:tcPr>
            <w:tcW w:type="dxa" w:w="1080"/>
          </w:tcPr>
          <w:p>
            <w:r>
              <w:rPr>
                <w:rFonts w:ascii="Calibri" w:hAnsi="Calibri"/>
                <w:sz w:val="22"/>
              </w:rPr>
              <w:t>~6.4%</w:t>
            </w:r>
          </w:p>
        </w:tc>
        <w:tc>
          <w:tcPr>
            <w:tcW w:type="dxa" w:w="1080"/>
          </w:tcPr>
          <w:p>
            <w:r>
              <w:rPr>
                <w:rFonts w:ascii="Calibri" w:hAnsi="Calibri"/>
                <w:sz w:val="22"/>
              </w:rPr>
              <w:t>+0.3 pts</w:t>
            </w:r>
          </w:p>
        </w:tc>
        <w:tc>
          <w:tcPr>
            <w:tcW w:type="dxa" w:w="1080"/>
          </w:tcPr>
          <w:p>
            <w:r>
              <w:rPr>
                <w:rFonts w:ascii="Calibri" w:hAnsi="Calibri"/>
                <w:sz w:val="22"/>
              </w:rPr>
              <w:t>~6–7%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Seg. Op. Margin — Q3 FY2026</w:t>
            </w:r>
          </w:p>
        </w:tc>
        <w:tc>
          <w:tcPr>
            <w:tcW w:type="dxa" w:w="1080"/>
          </w:tcPr>
          <w:p>
            <w:r>
              <w:rPr>
                <w:rFonts w:ascii="Calibri" w:hAnsi="Calibri"/>
                <w:sz w:val="22"/>
              </w:rPr>
              <w:t>23.4%</w:t>
            </w:r>
          </w:p>
        </w:tc>
        <w:tc>
          <w:tcPr>
            <w:tcW w:type="dxa" w:w="1080"/>
          </w:tcPr>
          <w:p>
            <w:r>
              <w:rPr>
                <w:rFonts w:ascii="Calibri" w:hAnsi="Calibri"/>
                <w:sz w:val="22"/>
              </w:rPr>
              <w:t>23.5%</w:t>
            </w:r>
          </w:p>
        </w:tc>
        <w:tc>
          <w:tcPr>
            <w:tcW w:type="dxa" w:w="1080"/>
          </w:tcPr>
          <w:p>
            <w:r>
              <w:rPr>
                <w:rFonts w:ascii="Calibri" w:hAnsi="Calibri"/>
                <w:sz w:val="22"/>
              </w:rPr>
              <w:t>+0.1 pts</w:t>
            </w:r>
          </w:p>
        </w:tc>
        <w:tc>
          <w:tcPr>
            <w:tcW w:type="dxa" w:w="1080"/>
          </w:tcPr>
          <w:p>
            <w:r>
              <w:rPr>
                <w:rFonts w:ascii="Calibri" w:hAnsi="Calibri"/>
                <w:sz w:val="22"/>
              </w:rPr>
              <w:t>~Flat seq. vs. Q2 (23.7%)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FY2026</w:t>
            </w:r>
          </w:p>
        </w:tc>
        <w:tc>
          <w:tcPr>
            <w:tcW w:type="dxa" w:w="1080"/>
          </w:tcPr>
          <w:p>
            <w:r>
              <w:rPr>
                <w:rFonts w:ascii="Calibri" w:hAnsi="Calibri"/>
                <w:sz w:val="22"/>
              </w:rPr>
              <w:t>~$12.80</w:t>
            </w:r>
          </w:p>
        </w:tc>
        <w:tc>
          <w:tcPr>
            <w:tcW w:type="dxa" w:w="1080"/>
          </w:tcPr>
          <w:p>
            <w:r>
              <w:rPr>
                <w:rFonts w:ascii="Calibri" w:hAnsi="Calibri"/>
                <w:sz w:val="22"/>
              </w:rPr>
              <w:t>~$12.80</w:t>
            </w:r>
          </w:p>
        </w:tc>
        <w:tc>
          <w:tcPr>
            <w:tcW w:type="dxa" w:w="1080"/>
          </w:tcPr>
          <w:p>
            <w:r>
              <w:rPr>
                <w:rFonts w:ascii="Calibri" w:hAnsi="Calibri"/>
                <w:sz w:val="22"/>
              </w:rPr>
              <w:t>Flat</w:t>
            </w:r>
          </w:p>
        </w:tc>
        <w:tc>
          <w:tcPr>
            <w:tcW w:type="dxa" w:w="1080"/>
          </w:tcPr>
          <w:p>
            <w:r>
              <w:rPr>
                <w:rFonts w:ascii="Calibri" w:hAnsi="Calibri"/>
                <w:sz w:val="22"/>
              </w:rPr>
              <w:t>$12.50–$13.10 ($12.80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Net Sales — FY2026</w:t>
            </w:r>
          </w:p>
        </w:tc>
        <w:tc>
          <w:tcPr>
            <w:tcW w:type="dxa" w:w="1080"/>
          </w:tcPr>
          <w:p>
            <w:r>
              <w:rPr>
                <w:rFonts w:ascii="Calibri" w:hAnsi="Calibri"/>
                <w:sz w:val="22"/>
              </w:rPr>
              <w:t>~$8.9B</w:t>
            </w:r>
          </w:p>
        </w:tc>
        <w:tc>
          <w:tcPr>
            <w:tcW w:type="dxa" w:w="1080"/>
          </w:tcPr>
          <w:p>
            <w:r>
              <w:rPr>
                <w:rFonts w:ascii="Calibri" w:hAnsi="Calibri"/>
                <w:sz w:val="22"/>
              </w:rPr>
              <w:t>~$8.9B</w:t>
            </w:r>
          </w:p>
        </w:tc>
        <w:tc>
          <w:tcPr>
            <w:tcW w:type="dxa" w:w="1080"/>
          </w:tcPr>
          <w:p>
            <w:r>
              <w:rPr>
                <w:rFonts w:ascii="Calibri" w:hAnsi="Calibri"/>
                <w:sz w:val="22"/>
              </w:rPr>
              <w:t>Flat</w:t>
            </w:r>
          </w:p>
        </w:tc>
        <w:tc>
          <w:tcPr>
            <w:tcW w:type="dxa" w:w="1080"/>
          </w:tcPr>
          <w:p>
            <w:r>
              <w:rPr>
                <w:rFonts w:ascii="Calibri" w:hAnsi="Calibri"/>
                <w:sz w:val="22"/>
              </w:rPr>
              <w:t>5%–9% growth (~$8.9B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bl>
    <w:p>
      <w:r>
        <w:rPr>
          <w:rFonts w:ascii="Calibri" w:hAnsi="Calibri"/>
          <w:color w:val="525866"/>
          <w:sz w:val="22"/>
        </w:rPr>
        <w:t>Estimates have been remarkably stable since the Q2 print, moving only marginally higher (+0.2–0.3%) as the street digested the guidance raise. The near-zero revision drift since May 12 suggests consensus is well-anchored to management’s guide, with no meaningful upward or downward pressure from macro or peer data points. The slight premium of consensus to guidance midpoint (+1.2% on EPS) is consistent with ROK’s historical beat pattern and represents a modest embedded beat expectation rather than a stretched bar.</w:t>
      </w:r>
    </w:p>
    <w:p>
      <w:r>
        <w:rPr>
          <w:rFonts w:ascii="Calibri" w:hAnsi="Calibri"/>
          <w:i/>
          <w:color w:val="525866"/>
          <w:sz w:val="22"/>
        </w:rPr>
        <w:t>Source: Visible Alpha consensus data; as-of date 5/12/26 used as post-earnings baseline (5 trading days after May 5, 2026 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ROK has outperformed both XLI and the S&amp;P 500 by a wide margin since the Q2 earnings beat, with the stock up ~10% vs. ~4% for XLI and ~3% for SPY. </w:t>
      </w:r>
      <w:r>
        <w:rPr>
          <w:rFonts w:ascii="Calibri" w:hAnsi="Calibri"/>
          <w:b/>
          <w:color w:val="525866"/>
          <w:sz w:val="22"/>
        </w:rPr>
        <w:t>The outperformance is primarily revision-driven</w:t>
      </w:r>
      <w:r>
        <w:rPr>
          <w:rFonts w:ascii="Calibri" w:hAnsi="Calibri"/>
          <w:color w:val="525866"/>
          <w:sz w:val="22"/>
        </w:rPr>
        <w:t xml:space="preserve"> — the ~$1.00 EPS guidance raise pulled estimates sharply higher and justified multiple re-rating; the stock now trades at a premium that prices in continued execution.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ROK vs. XLI (Industrials ETF) vs. S&amp;P 500 (SPY) — Indexed to 100 at Q2 FY2026 Earnings (May 5, 2026). Source: Yahoo Finance.</w:t>
      </w:r>
    </w:p>
    <w:p>
      <w:r>
        <w:rPr>
          <w:rFonts w:ascii="Calibri" w:hAnsi="Calibri"/>
          <w:b/>
          <w:color w:val="525866"/>
          <w:sz w:val="22"/>
        </w:rPr>
        <w:t>Performance Summary (May 5 – July 31, 2026):</w:t>
      </w:r>
    </w:p>
    <w:p>
      <w:pPr>
        <w:pStyle w:val="ListBullet"/>
        <w:ind w:left="360" w:hanging="360"/>
      </w:pPr>
      <w:r>
        <w:rPr>
          <w:rFonts w:ascii="Calibri" w:hAnsi="Calibri"/>
          <w:b/>
          <w:color w:val="525866"/>
          <w:sz w:val="22"/>
        </w:rPr>
        <w:t xml:space="preserve">ROK: </w:t>
      </w:r>
      <w:r>
        <w:rPr>
          <w:rFonts w:ascii="Calibri" w:hAnsi="Calibri"/>
          <w:color w:val="525866"/>
          <w:sz w:val="22"/>
        </w:rPr>
        <w:t>+10.1% (from $435.93 to $480.12) — stock surged ~5.4% on earnings day alone (May 5 close $435.93 vs. May 4 close $400.31), then continued to grind higher through June 30 (fiscal quarter-end, $495.08) before pulling back modestly in July.</w:t>
      </w:r>
    </w:p>
    <w:p>
      <w:pPr>
        <w:pStyle w:val="ListBullet"/>
        <w:ind w:left="360" w:hanging="360"/>
      </w:pPr>
      <w:r>
        <w:rPr>
          <w:rFonts w:ascii="Calibri" w:hAnsi="Calibri"/>
          <w:b/>
          <w:color w:val="525866"/>
          <w:sz w:val="22"/>
        </w:rPr>
        <w:t xml:space="preserve">XLI (Industrials ETF): </w:t>
      </w:r>
      <w:r>
        <w:rPr>
          <w:rFonts w:ascii="Calibri" w:hAnsi="Calibri"/>
          <w:color w:val="525866"/>
          <w:sz w:val="22"/>
        </w:rPr>
        <w:t>+4.3% (from $172.41 to $179.87) — broad industrials outperformed the market but significantly lagged ROK, reflecting ROK-specific earnings momentum.</w:t>
      </w:r>
    </w:p>
    <w:p>
      <w:pPr>
        <w:pStyle w:val="ListBullet"/>
        <w:ind w:left="360" w:hanging="360"/>
      </w:pPr>
      <w:r>
        <w:rPr>
          <w:rFonts w:ascii="Calibri" w:hAnsi="Calibri"/>
          <w:b/>
          <w:color w:val="525866"/>
          <w:sz w:val="22"/>
        </w:rPr>
        <w:t xml:space="preserve">S&amp;P 500 (SPY): </w:t>
      </w:r>
      <w:r>
        <w:rPr>
          <w:rFonts w:ascii="Calibri" w:hAnsi="Calibri"/>
          <w:color w:val="525866"/>
          <w:sz w:val="22"/>
        </w:rPr>
        <w:t>+3.2% (from $723.77 to $747.07) — market was broadly constructive over the period.</w:t>
      </w:r>
    </w:p>
    <w:p>
      <w:pPr>
        <w:pStyle w:val="ListBullet"/>
        <w:ind w:left="360" w:hanging="360"/>
      </w:pPr>
      <w:r>
        <w:rPr>
          <w:rFonts w:ascii="Calibri" w:hAnsi="Calibri"/>
          <w:b/>
          <w:color w:val="525866"/>
          <w:sz w:val="22"/>
        </w:rPr>
        <w:t xml:space="preserve">Key events: </w:t>
      </w:r>
      <w:r>
        <w:rPr>
          <w:rFonts w:ascii="Calibri" w:hAnsi="Calibri"/>
          <w:color w:val="525866"/>
          <w:sz w:val="22"/>
        </w:rPr>
        <w:t>Q2 FY2026 earnings beat (May 5) was the primary catalyst; Wolfe Research Conference appearance (May 7) reinforced the constructive tone. The stock reached a post-earnings high of $495.08 on June 30 (fiscal Q3 quarter-end) before pulling back ~3% in July as investors await the Q3 print.</w:t>
      </w:r>
    </w:p>
    <w:p>
      <w:pPr>
        <w:pStyle w:val="ListBullet"/>
        <w:ind w:left="360" w:hanging="360"/>
      </w:pPr>
      <w:r>
        <w:rPr>
          <w:rFonts w:ascii="Calibri" w:hAnsi="Calibri"/>
          <w:b/>
          <w:color w:val="525866"/>
          <w:sz w:val="22"/>
        </w:rPr>
        <w:t xml:space="preserve">Valuation context: </w:t>
      </w:r>
      <w:r>
        <w:rPr>
          <w:rFonts w:ascii="Calibri" w:hAnsi="Calibri"/>
          <w:color w:val="525866"/>
          <w:sz w:val="22"/>
        </w:rPr>
        <w:t>At $480, ROK trades at approximately 37–38x trailing twelve-month adjusted EPS and approximately 35–36x FY2026 consensus EPS of ~$12.80 — a premium to the industrial automation peer group, reflecting the quality of the margin expansion story and data center exposure. The multiple has expanded modestly since the Q2 print as estimates moved higher.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w:t>
      </w:r>
      <w:r>
        <w:rPr>
          <w:rFonts w:ascii="Calibri" w:hAnsi="Calibri"/>
          <w:b/>
          <w:color w:val="525866"/>
          <w:sz w:val="22"/>
        </w:rPr>
        <w:t>continued broadening of data center demand</w:t>
      </w:r>
      <w:r>
        <w:rPr>
          <w:rFonts w:ascii="Calibri" w:hAnsi="Calibri"/>
          <w:color w:val="525866"/>
          <w:sz w:val="22"/>
        </w:rPr>
        <w:t xml:space="preserve"> and the absence of any negative pre-announcements — the lack of news is itself a positive signal given the memory cost headwind management flagged.</w:t>
      </w:r>
    </w:p>
    <w:p>
      <w:pPr>
        <w:pStyle w:val="ListBullet"/>
        <w:ind w:left="360" w:hanging="360"/>
      </w:pPr>
      <w:r>
        <w:rPr>
          <w:rFonts w:ascii="Calibri" w:hAnsi="Calibri"/>
          <w:b/>
          <w:color w:val="525866"/>
          <w:sz w:val="22"/>
        </w:rPr>
        <w:t xml:space="preserve">May 5, 2026 — Q2 FY2026 Earnings Beat &amp; Guidance Raise (8-K / Press Release): </w:t>
      </w:r>
      <w:r>
        <w:rPr>
          <w:rFonts w:ascii="Calibri" w:hAnsi="Calibri"/>
          <w:color w:val="525866"/>
          <w:sz w:val="22"/>
        </w:rPr>
        <w:t xml:space="preserve">ROK reported Q2 adjusted EPS of $3.30 vs. consensus of $2.89 (+14.2% beat); organic sales +8.6% vs. consensus +5.9%; segment operating margin 23.7% vs. consensus 21.3% (+240 bps beat). Full-year EPS guidance raised to $12.50–$13.10 ($12.80 midpoint), up ~$1.00 from prior guide. Stock surged ~9% on the day. </w:t>
      </w:r>
      <w:r>
        <w:rPr>
          <w:rFonts w:ascii="Calibri" w:hAnsi="Calibri"/>
          <w:b/>
          <w:color w:val="525866"/>
          <w:sz w:val="22"/>
        </w:rPr>
        <w:t xml:space="preserve">Implication: </w:t>
      </w:r>
      <w:r>
        <w:rPr>
          <w:rFonts w:ascii="Calibri" w:hAnsi="Calibri"/>
          <w:color w:val="525866"/>
          <w:sz w:val="22"/>
        </w:rPr>
        <w:t>Sets a high bar for Q3 but validates the margin expansion thesis; the magnitude of the beat suggests demand is broader than the street had modeled.</w:t>
      </w:r>
    </w:p>
    <w:p>
      <w:pPr>
        <w:pStyle w:val="ListBullet"/>
        <w:ind w:left="360" w:hanging="360"/>
      </w:pPr>
      <w:r>
        <w:rPr>
          <w:rFonts w:ascii="Calibri" w:hAnsi="Calibri"/>
          <w:b/>
          <w:color w:val="525866"/>
          <w:sz w:val="22"/>
        </w:rPr>
        <w:t xml:space="preserve">May 5, 2026 — Sensia Joint Venture Dissolution Completed: </w:t>
      </w:r>
      <w:r>
        <w:rPr>
          <w:rFonts w:ascii="Calibri" w:hAnsi="Calibri"/>
          <w:color w:val="525866"/>
          <w:sz w:val="22"/>
        </w:rPr>
        <w:t xml:space="preserve">Rockwell completed the dissolution of the Sensia JV on April 1, 2026, retaining the Process Automation and vMonitor business. The dissolution reduces reported revenue by ~$100M for FY2026 but is margin-accretive and EPS-neutral. </w:t>
      </w:r>
      <w:r>
        <w:rPr>
          <w:rFonts w:ascii="Calibri" w:hAnsi="Calibri"/>
          <w:b/>
          <w:color w:val="525866"/>
          <w:sz w:val="22"/>
        </w:rPr>
        <w:t xml:space="preserve">Implication: </w:t>
      </w:r>
      <w:r>
        <w:rPr>
          <w:rFonts w:ascii="Calibri" w:hAnsi="Calibri"/>
          <w:color w:val="525866"/>
          <w:sz w:val="22"/>
        </w:rPr>
        <w:t>Lifecycle Services revenue will be down ~$100M YoY in FY2026; investors should focus on organic growth and margin, not reported revenue, for LS.</w:t>
      </w:r>
    </w:p>
    <w:p>
      <w:pPr>
        <w:pStyle w:val="ListBullet"/>
        <w:ind w:left="360" w:hanging="360"/>
      </w:pPr>
      <w:r>
        <w:rPr>
          <w:rFonts w:ascii="Calibri" w:hAnsi="Calibri"/>
          <w:b/>
          <w:color w:val="525866"/>
          <w:sz w:val="22"/>
        </w:rPr>
        <w:t xml:space="preserve">May 5, 2026 — Share Repurchase Acceleration: </w:t>
      </w:r>
      <w:r>
        <w:rPr>
          <w:rFonts w:ascii="Calibri" w:hAnsi="Calibri"/>
          <w:color w:val="525866"/>
          <w:sz w:val="22"/>
        </w:rPr>
        <w:t xml:space="preserve">ROK repurchased 1.2M shares at ~$450M in Q2 (opportunistic during market dislocation), raising full-year buyback expectation to ~$850M. Average diluted shares now guided at ~112.1M. </w:t>
      </w:r>
      <w:r>
        <w:rPr>
          <w:rFonts w:ascii="Calibri" w:hAnsi="Calibri"/>
          <w:b/>
          <w:color w:val="525866"/>
          <w:sz w:val="22"/>
        </w:rPr>
        <w:t xml:space="preserve">Implication: </w:t>
      </w:r>
      <w:r>
        <w:rPr>
          <w:rFonts w:ascii="Calibri" w:hAnsi="Calibri"/>
          <w:color w:val="525866"/>
          <w:sz w:val="22"/>
        </w:rPr>
        <w:t>Meaningful EPS tailwind from share count reduction; signals management confidence in the business trajectory.</w:t>
      </w:r>
    </w:p>
    <w:p>
      <w:pPr>
        <w:pStyle w:val="ListBullet"/>
        <w:ind w:left="360" w:hanging="360"/>
      </w:pPr>
      <w:r>
        <w:rPr>
          <w:rFonts w:ascii="Calibri" w:hAnsi="Calibri"/>
          <w:b/>
          <w:color w:val="525866"/>
          <w:sz w:val="22"/>
        </w:rPr>
        <w:t xml:space="preserve">May 7, 2026 — Wolfe Research 19th Annual Global Transportation &amp; Industrials Conference: </w:t>
      </w:r>
      <w:r>
        <w:rPr>
          <w:rFonts w:ascii="Calibri" w:hAnsi="Calibri"/>
          <w:color w:val="525866"/>
          <w:sz w:val="22"/>
        </w:rPr>
        <w:t xml:space="preserve">ROK presented at the Wolfe Conference two days after earnings. Tone was consistent with the raised guide; no incremental guidance changes were disclosed. </w:t>
      </w:r>
      <w:r>
        <w:rPr>
          <w:rFonts w:ascii="Calibri" w:hAnsi="Calibri"/>
          <w:b/>
          <w:color w:val="525866"/>
          <w:sz w:val="22"/>
        </w:rPr>
        <w:t xml:space="preserve">Implication: </w:t>
      </w:r>
      <w:r>
        <w:rPr>
          <w:rFonts w:ascii="Calibri" w:hAnsi="Calibri"/>
          <w:color w:val="525866"/>
          <w:sz w:val="22"/>
        </w:rPr>
        <w:t>No post-earnings guidance walk-back; management comfortable with the raised bar.</w:t>
      </w:r>
    </w:p>
    <w:p>
      <w:pPr>
        <w:pStyle w:val="ListBullet"/>
        <w:ind w:left="360" w:hanging="360"/>
      </w:pPr>
      <w:r>
        <w:rPr>
          <w:rFonts w:ascii="Calibri" w:hAnsi="Calibri"/>
          <w:b/>
          <w:color w:val="525866"/>
          <w:sz w:val="22"/>
        </w:rPr>
        <w:t xml:space="preserve">Ongoing — Data Center Demand Acceleration: </w:t>
      </w:r>
      <w:r>
        <w:rPr>
          <w:rFonts w:ascii="Calibri" w:hAnsi="Calibri"/>
          <w:color w:val="525866"/>
          <w:sz w:val="22"/>
        </w:rPr>
        <w:t xml:space="preserve">Data center sales more than doubled YoY in Q2 FY2026, driven by Logix displacing traditional DDC building controls (five-nines availability), Cubic modular switchgear, and VFDs. Management framed data center as currently low single-digit % of revenue with a path to ~5% “in the not-too-distant future.” </w:t>
      </w:r>
      <w:r>
        <w:rPr>
          <w:rFonts w:ascii="Calibri" w:hAnsi="Calibri"/>
          <w:b/>
          <w:color w:val="525866"/>
          <w:sz w:val="22"/>
        </w:rPr>
        <w:t xml:space="preserve">Implication: </w:t>
      </w:r>
      <w:r>
        <w:rPr>
          <w:rFonts w:ascii="Calibri" w:hAnsi="Calibri"/>
          <w:color w:val="525866"/>
          <w:sz w:val="22"/>
        </w:rPr>
        <w:t>Data center is the fastest-growing end market and a key upside driver; any acceleration in hyperscaler CapEx commitments is a direct positive for ROK.</w:t>
      </w:r>
    </w:p>
    <w:p>
      <w:pPr>
        <w:pStyle w:val="ListBullet"/>
        <w:ind w:left="360" w:hanging="360"/>
      </w:pPr>
      <w:r>
        <w:rPr>
          <w:rFonts w:ascii="Calibri" w:hAnsi="Calibri"/>
          <w:b/>
          <w:color w:val="525866"/>
          <w:sz w:val="22"/>
        </w:rPr>
        <w:t xml:space="preserve">Ongoing — Automotive CapEx Still Locked: </w:t>
      </w:r>
      <w:r>
        <w:rPr>
          <w:rFonts w:ascii="Calibri" w:hAnsi="Calibri"/>
          <w:color w:val="525866"/>
          <w:sz w:val="22"/>
        </w:rPr>
        <w:t xml:space="preserve">Management confirmed automotive and CPG have not seen a “wholesale unlock of capital” as of Q2. USMCA negotiations remain the key gating factor for automotive. </w:t>
      </w:r>
      <w:r>
        <w:rPr>
          <w:rFonts w:ascii="Calibri" w:hAnsi="Calibri"/>
          <w:b/>
          <w:color w:val="525866"/>
          <w:sz w:val="22"/>
        </w:rPr>
        <w:t xml:space="preserve">Implication: </w:t>
      </w:r>
      <w:r>
        <w:rPr>
          <w:rFonts w:ascii="Calibri" w:hAnsi="Calibri"/>
          <w:color w:val="525866"/>
          <w:sz w:val="22"/>
        </w:rPr>
        <w:t>Automotive recovery is the single largest upside catalyst not yet in numbers; any USMCA resolution could unlock a meaningful order wave.</w:t>
      </w:r>
    </w:p>
    <w:p>
      <w:pPr>
        <w:pStyle w:val="ListBullet"/>
        <w:ind w:left="360" w:hanging="360"/>
      </w:pPr>
      <w:r>
        <w:rPr>
          <w:rFonts w:ascii="Calibri" w:hAnsi="Calibri"/>
          <w:b/>
          <w:color w:val="525866"/>
          <w:sz w:val="22"/>
        </w:rPr>
        <w:t xml:space="preserve">Ongoing — Memory Chip Cost Inflation (H2 Headwind): </w:t>
      </w:r>
      <w:r>
        <w:rPr>
          <w:rFonts w:ascii="Calibri" w:hAnsi="Calibri"/>
          <w:color w:val="525866"/>
          <w:sz w:val="22"/>
        </w:rPr>
        <w:t xml:space="preserve">Management guided memory chip costs as a “double-digit million dollar headwind” in H2 FY2026, disproportionately impacting Software &amp; Control. Q3 S&amp;C margins are guided sequentially lower from Q2’s exceptional 34.9%. </w:t>
      </w:r>
      <w:r>
        <w:rPr>
          <w:rFonts w:ascii="Calibri" w:hAnsi="Calibri"/>
          <w:b/>
          <w:color w:val="525866"/>
          <w:sz w:val="22"/>
        </w:rPr>
        <w:t xml:space="preserve">Implication: </w:t>
      </w:r>
      <w:r>
        <w:rPr>
          <w:rFonts w:ascii="Calibri" w:hAnsi="Calibri"/>
          <w:color w:val="525866"/>
          <w:sz w:val="22"/>
        </w:rPr>
        <w:t>The key margin risk for Q3; if memory costs are worse than guided, S&amp;C margin could disappoint even with solid volume.</w:t>
      </w:r>
    </w:p>
    <w:p>
      <w:pPr>
        <w:pStyle w:val="ListBullet"/>
        <w:ind w:left="360" w:hanging="360"/>
      </w:pPr>
      <w:r>
        <w:rPr>
          <w:rFonts w:ascii="Calibri" w:hAnsi="Calibri"/>
          <w:b/>
          <w:color w:val="525866"/>
          <w:sz w:val="22"/>
        </w:rPr>
        <w:t xml:space="preserve">Ongoing — Wisconsin Greenfield Facility (New Berlin): </w:t>
      </w:r>
      <w:r>
        <w:rPr>
          <w:rFonts w:ascii="Calibri" w:hAnsi="Calibri"/>
          <w:color w:val="525866"/>
          <w:sz w:val="22"/>
        </w:rPr>
        <w:t xml:space="preserve">Permits filed April 2026 for a new greenfield manufacturing facility in New Berlin, Wisconsin — part of a ~$2B, 5-year capital investment program (~80% CapEx, ~20% OpEx). Potential to be ROK’s largest global manufacturing facility. </w:t>
      </w:r>
      <w:r>
        <w:rPr>
          <w:rFonts w:ascii="Calibri" w:hAnsi="Calibri"/>
          <w:b/>
          <w:color w:val="525866"/>
          <w:sz w:val="22"/>
        </w:rPr>
        <w:t xml:space="preserve">Implication: </w:t>
      </w:r>
      <w:r>
        <w:rPr>
          <w:rFonts w:ascii="Calibri" w:hAnsi="Calibri"/>
          <w:color w:val="525866"/>
          <w:sz w:val="22"/>
        </w:rPr>
        <w:t>Long-term margin expansion signal; near-term CapEx headwind (~3% of sales guided for FY2026).</w:t>
      </w:r>
    </w:p>
    <w:p>
      <w:pPr>
        <w:pStyle w:val="ListBullet"/>
        <w:ind w:left="360" w:hanging="360"/>
      </w:pPr>
      <w:r>
        <w:rPr>
          <w:rFonts w:ascii="Calibri" w:hAnsi="Calibri"/>
          <w:b/>
          <w:color w:val="525866"/>
          <w:sz w:val="22"/>
        </w:rPr>
        <w:t xml:space="preserve">Ongoing — AI Product Commercialization: </w:t>
      </w:r>
      <w:r>
        <w:rPr>
          <w:rFonts w:ascii="Calibri" w:hAnsi="Calibri"/>
          <w:color w:val="525866"/>
          <w:sz w:val="22"/>
        </w:rPr>
        <w:t xml:space="preserve">ROK has launched Vision AI (inline quality inspection), Guardian AI (VFD signal monitoring for predictive maintenance), an asset risk predictor in CMMS software, and AI agents in cloud-native design software. Thermo Fisher AI troubleshooting agent cited as a customer win. </w:t>
      </w:r>
      <w:r>
        <w:rPr>
          <w:rFonts w:ascii="Calibri" w:hAnsi="Calibri"/>
          <w:b/>
          <w:color w:val="525866"/>
          <w:sz w:val="22"/>
        </w:rPr>
        <w:t xml:space="preserve">Implication: </w:t>
      </w:r>
      <w:r>
        <w:rPr>
          <w:rFonts w:ascii="Calibri" w:hAnsi="Calibri"/>
          <w:color w:val="525866"/>
          <w:sz w:val="22"/>
        </w:rPr>
        <w:t>AI is transitioning from narrative to revenue; watch for any quantification of AI-driven ARR in Q3 commentary.</w:t>
      </w:r>
    </w:p>
    <w:p>
      <w:r>
        <w:br w:type="page"/>
      </w:r>
    </w:p>
    <w:p>
      <w:pPr>
        <w:pStyle w:val="Heading2"/>
      </w:pPr>
      <w:r>
        <w:rPr>
          <w:rFonts w:ascii="Calibri" w:hAnsi="Calibri"/>
          <w:b/>
          <w:color w:val="3B4259"/>
          <w:sz w:val="28"/>
        </w:rPr>
        <w:t>7. Peer Commentaries — Read-Through for ROK Q3 FY2026</w:t>
      </w:r>
    </w:p>
    <w:p>
      <w:r>
        <w:rPr>
          <w:rFonts w:ascii="Calibri" w:hAnsi="Calibri"/>
          <w:b/>
          <w:color w:val="525866"/>
          <w:sz w:val="22"/>
        </w:rPr>
        <w:t xml:space="preserve">Key Takeaway: </w:t>
      </w:r>
      <w:r>
        <w:rPr>
          <w:rFonts w:ascii="Calibri" w:hAnsi="Calibri"/>
          <w:color w:val="525866"/>
          <w:sz w:val="22"/>
        </w:rPr>
        <w:t xml:space="preserve">Peer commentary from EMR (Q2 FY2026, May 5), ETN (Q1 2026, May 5; Q2 2026, July 31), and HON (Guidance Update Call, June 8; Q2 2026, July 23) is broadly </w:t>
      </w:r>
      <w:r>
        <w:rPr>
          <w:rFonts w:ascii="Calibri" w:hAnsi="Calibri"/>
          <w:b/>
          <w:color w:val="525866"/>
          <w:sz w:val="22"/>
        </w:rPr>
        <w:t>constructive for ROK’s Q3 print</w:t>
      </w:r>
      <w:r>
        <w:rPr>
          <w:rFonts w:ascii="Calibri" w:hAnsi="Calibri"/>
          <w:color w:val="525866"/>
          <w:sz w:val="22"/>
        </w:rPr>
        <w:t xml:space="preserve"> — machine OEM recovery, data center strength, and resilient short-cycle demand are consistent themes. The key read-through risk is the Middle East conflict’s impact on process automation, which is a modest but real headwind for ROK’s Lifecycle Services segment.</w:t>
      </w:r>
    </w:p>
    <w:p>
      <w:r>
        <w:rPr>
          <w:rFonts w:ascii="Calibri" w:hAnsi="Calibri"/>
          <w:i/>
          <w:color w:val="525866"/>
          <w:sz w:val="22"/>
        </w:rPr>
        <w:t>Note: Only commentary from peers’ current-quarter reporting periods (i.e., commentary about calendar Q2 2026 / summer 2026 outlook, or post-last-earnings guidance updates) is included below. Prior-quarter results commentary is excluded.</w:t>
      </w:r>
    </w:p>
    <w:p>
      <w:pPr>
        <w:pStyle w:val="Heading3"/>
      </w:pPr>
      <w:r>
        <w:rPr>
          <w:rFonts w:ascii="Calibri" w:hAnsi="Calibri"/>
          <w:b/>
          <w:color w:val="3B4259"/>
          <w:sz w:val="24"/>
        </w:rPr>
        <w:t>Eaton (ETN) — Q1 2026 Earnings (May 5, 2026) &amp; Q2 2026 Earnings (July 31, 2026)</w:t>
      </w:r>
    </w:p>
    <w:p>
      <w:r>
        <w:rPr>
          <w:rFonts w:ascii="Calibri" w:hAnsi="Calibri"/>
          <w:b/>
          <w:color w:val="525866"/>
          <w:sz w:val="22"/>
        </w:rPr>
        <w:t xml:space="preserve">Read-Through Relevance: </w:t>
      </w:r>
      <w:r>
        <w:rPr>
          <w:rFonts w:ascii="Calibri" w:hAnsi="Calibri"/>
          <w:color w:val="525866"/>
          <w:sz w:val="22"/>
        </w:rPr>
        <w:t>ETN is ROK’s closest peer in industrial automation and power management; ETN’s machine OEM and data center commentary is a direct read-through to ROK’s Intelligent Devices and Software &amp; Control segments.</w:t>
      </w:r>
    </w:p>
    <w:p>
      <w:pPr>
        <w:pStyle w:val="ListBullet"/>
        <w:ind w:left="360" w:hanging="360"/>
      </w:pPr>
      <w:r>
        <w:rPr>
          <w:rFonts w:ascii="Calibri" w:hAnsi="Calibri"/>
          <w:b/>
          <w:color w:val="525866"/>
          <w:sz w:val="22"/>
        </w:rPr>
        <w:t xml:space="preserve">Machine OEM Recovery Accelerating (Q2 2026, July 31): </w:t>
      </w:r>
      <w:r>
        <w:rPr>
          <w:rFonts w:ascii="Calibri" w:hAnsi="Calibri"/>
          <w:color w:val="525866"/>
          <w:sz w:val="22"/>
        </w:rPr>
        <w:t xml:space="preserve">ETN reported machine OEM revenue “recovering really strongly, also double digits” in Q2, with orders “rebounding even faster with orders in the mid-30s.” ETN raised its full-year OEM market expectation to “solid growth.” </w:t>
      </w:r>
      <w:r>
        <w:rPr>
          <w:rFonts w:ascii="Calibri" w:hAnsi="Calibri"/>
          <w:b/>
          <w:color w:val="525866"/>
          <w:sz w:val="22"/>
        </w:rPr>
        <w:t xml:space="preserve">ROK Read-Through: </w:t>
      </w:r>
      <w:r>
        <w:rPr>
          <w:rFonts w:ascii="Calibri" w:hAnsi="Calibri"/>
          <w:color w:val="525866"/>
          <w:sz w:val="22"/>
        </w:rPr>
        <w:t>Strongly positive for ROK’s Intelligent Devices segment, which serves the same machine builder customer base. If ETN is seeing double-digit machine OEM revenue growth and mid-30s order growth, ROK’s ID segment should benefit from the same tailwind in Q3.</w:t>
      </w:r>
    </w:p>
    <w:p>
      <w:pPr>
        <w:pStyle w:val="ListBullet"/>
        <w:ind w:left="360" w:hanging="360"/>
      </w:pPr>
      <w:r>
        <w:rPr>
          <w:rFonts w:ascii="Calibri" w:hAnsi="Calibri"/>
          <w:b/>
          <w:color w:val="525866"/>
          <w:sz w:val="22"/>
        </w:rPr>
        <w:t xml:space="preserve">Data Center Demand Accelerating Beyond Expectations (Q2 2026, July 31): </w:t>
      </w:r>
      <w:r>
        <w:rPr>
          <w:rFonts w:ascii="Calibri" w:hAnsi="Calibri"/>
          <w:color w:val="525866"/>
          <w:sz w:val="22"/>
        </w:rPr>
        <w:t xml:space="preserve">ETN reported Electrical Americas data center revenue “up about 65%” in Q2, with total US data center backlog growing to 307 GW (15 years of backlog at 2025 build rates, up from 12 years three months prior). ETN stated demand is “growing even faster than we estimated in our initial guidance, and today even stronger than we expected three months ago.” </w:t>
      </w:r>
      <w:r>
        <w:rPr>
          <w:rFonts w:ascii="Calibri" w:hAnsi="Calibri"/>
          <w:b/>
          <w:color w:val="525866"/>
          <w:sz w:val="22"/>
        </w:rPr>
        <w:t xml:space="preserve">ROK Read-Through: </w:t>
      </w:r>
      <w:r>
        <w:rPr>
          <w:rFonts w:ascii="Calibri" w:hAnsi="Calibri"/>
          <w:color w:val="525866"/>
          <w:sz w:val="22"/>
        </w:rPr>
        <w:t>Highly positive for ROK’s data center exposure (Logix, Cubic switchgear, VFDs). If hyperscaler CapEx is accelerating beyond expectations, ROK’s data center revenue (which more than doubled YoY in Q2) could sustain or accelerate in Q3.</w:t>
      </w:r>
    </w:p>
    <w:p>
      <w:pPr>
        <w:pStyle w:val="ListBullet"/>
        <w:ind w:left="360" w:hanging="360"/>
      </w:pPr>
      <w:r>
        <w:rPr>
          <w:rFonts w:ascii="Calibri" w:hAnsi="Calibri"/>
          <w:b/>
          <w:color w:val="525866"/>
          <w:sz w:val="22"/>
        </w:rPr>
        <w:t xml:space="preserve">Short-Cycle Momentum Sustained (Q1 2026, May 5): </w:t>
      </w:r>
      <w:r>
        <w:rPr>
          <w:rFonts w:ascii="Calibri" w:hAnsi="Calibri"/>
          <w:color w:val="525866"/>
          <w:sz w:val="22"/>
        </w:rPr>
        <w:t xml:space="preserve">ETN reported short-cycle businesses at “high single digits in Q1 revenues from mid-single digits in Q4,” with machine OEM “back up for both Americas and Global.” ETN raised full-year organic growth outlook by 200 bps to a midpoint of 10%. </w:t>
      </w:r>
      <w:r>
        <w:rPr>
          <w:rFonts w:ascii="Calibri" w:hAnsi="Calibri"/>
          <w:b/>
          <w:color w:val="525866"/>
          <w:sz w:val="22"/>
        </w:rPr>
        <w:t xml:space="preserve">ROK Read-Through: </w:t>
      </w:r>
      <w:r>
        <w:rPr>
          <w:rFonts w:ascii="Calibri" w:hAnsi="Calibri"/>
          <w:color w:val="525866"/>
          <w:sz w:val="22"/>
        </w:rPr>
        <w:t>Positive for ROK’s Q3 organic growth trajectory; short-cycle recovery in machine OEM is a direct tailwind for ROK’s product-heavy Intelligent Devices segment.</w:t>
      </w:r>
    </w:p>
    <w:p>
      <w:pPr>
        <w:pStyle w:val="ListBullet"/>
        <w:ind w:left="360" w:hanging="360"/>
      </w:pPr>
      <w:r>
        <w:rPr>
          <w:rFonts w:ascii="Calibri" w:hAnsi="Calibri"/>
          <w:b/>
          <w:color w:val="525866"/>
          <w:sz w:val="22"/>
        </w:rPr>
        <w:t xml:space="preserve">Tariff Impact Immaterial (Q1 2026, May 5): </w:t>
      </w:r>
      <w:r>
        <w:rPr>
          <w:rFonts w:ascii="Calibri" w:hAnsi="Calibri"/>
          <w:color w:val="525866"/>
          <w:sz w:val="22"/>
        </w:rPr>
        <w:t xml:space="preserve">ETN stated “the tariff impacts are included in this guidance and considered immaterial.” In Q2, IEEPA refund impact was “less than $30M” and “less than $0.01 of EPS.” </w:t>
      </w:r>
      <w:r>
        <w:rPr>
          <w:rFonts w:ascii="Calibri" w:hAnsi="Calibri"/>
          <w:b/>
          <w:color w:val="525866"/>
          <w:sz w:val="22"/>
        </w:rPr>
        <w:t xml:space="preserve">ROK Read-Through: </w:t>
      </w:r>
      <w:r>
        <w:rPr>
          <w:rFonts w:ascii="Calibri" w:hAnsi="Calibri"/>
          <w:color w:val="525866"/>
          <w:sz w:val="22"/>
        </w:rPr>
        <w:t>Consistent with ROK’s own tariff-neutrality posture; suggests the industrial automation sector broadly has been able to offset tariff costs through pricing, reducing the risk of a tariff-driven earnings miss.</w:t>
      </w:r>
    </w:p>
    <w:p>
      <w:pPr>
        <w:pStyle w:val="ListBullet"/>
        <w:ind w:left="360" w:hanging="360"/>
      </w:pPr>
      <w:r>
        <w:rPr>
          <w:rFonts w:ascii="Calibri" w:hAnsi="Calibri"/>
          <w:b/>
          <w:color w:val="525866"/>
          <w:sz w:val="22"/>
        </w:rPr>
        <w:t xml:space="preserve">Electrical Americas Margin Recovery on Track (Q2 2026, July 31): </w:t>
      </w:r>
      <w:r>
        <w:rPr>
          <w:rFonts w:ascii="Calibri" w:hAnsi="Calibri"/>
          <w:color w:val="525866"/>
          <w:sz w:val="22"/>
        </w:rPr>
        <w:t xml:space="preserve">ETN guided Electrical Americas margins up 450–500 bps from H1 to H2, with Q2-to-Q3 improvement of 250 bps (150 bps price/cost + 100 bps output/productivity). Early July reads showed “an improvement from what we saw in second quarter.” </w:t>
      </w:r>
      <w:r>
        <w:rPr>
          <w:rFonts w:ascii="Calibri" w:hAnsi="Calibri"/>
          <w:b/>
          <w:color w:val="525866"/>
          <w:sz w:val="22"/>
        </w:rPr>
        <w:t xml:space="preserve">ROK Read-Through: </w:t>
      </w:r>
      <w:r>
        <w:rPr>
          <w:rFonts w:ascii="Calibri" w:hAnsi="Calibri"/>
          <w:color w:val="525866"/>
          <w:sz w:val="22"/>
        </w:rPr>
        <w:t>Positive for ROK’s margin trajectory; if ETN is seeing price/cost turn favorable in H2, ROK’s tariff-related pricing (~100 bps) should similarly provide margin support in Q3.</w:t>
      </w:r>
    </w:p>
    <w:p>
      <w:pPr>
        <w:pStyle w:val="Heading3"/>
      </w:pPr>
      <w:r>
        <w:rPr>
          <w:rFonts w:ascii="Calibri" w:hAnsi="Calibri"/>
          <w:b/>
          <w:color w:val="3B4259"/>
          <w:sz w:val="24"/>
        </w:rPr>
        <w:t>Emerson Electric (EMR) — Q2 FY2026 Earnings (May 5, 2026)</w:t>
      </w:r>
    </w:p>
    <w:p>
      <w:r>
        <w:rPr>
          <w:rFonts w:ascii="Calibri" w:hAnsi="Calibri"/>
          <w:b/>
          <w:color w:val="525866"/>
          <w:sz w:val="22"/>
        </w:rPr>
        <w:t xml:space="preserve">Read-Through Relevance: </w:t>
      </w:r>
      <w:r>
        <w:rPr>
          <w:rFonts w:ascii="Calibri" w:hAnsi="Calibri"/>
          <w:color w:val="525866"/>
          <w:sz w:val="22"/>
        </w:rPr>
        <w:t>EMR is a direct process automation peer; its commentary on industrial automation demand, MRO spend, and end-market trends is a read-through to ROK’s Lifecycle Services and Software &amp; Control segments.</w:t>
      </w:r>
    </w:p>
    <w:p>
      <w:pPr>
        <w:pStyle w:val="ListBullet"/>
        <w:ind w:left="360" w:hanging="360"/>
      </w:pPr>
      <w:r>
        <w:rPr>
          <w:rFonts w:ascii="Calibri" w:hAnsi="Calibri"/>
          <w:b/>
          <w:color w:val="525866"/>
          <w:sz w:val="22"/>
        </w:rPr>
        <w:t xml:space="preserve">Underlying Orders +5%, Book-to-Bill 1.07 (Q2 FY2026, May 5): </w:t>
      </w:r>
      <w:r>
        <w:rPr>
          <w:rFonts w:ascii="Calibri" w:hAnsi="Calibri"/>
          <w:color w:val="525866"/>
          <w:sz w:val="22"/>
        </w:rPr>
        <w:t xml:space="preserve">EMR reported underlying orders growing 5% in Q2, led by Software &amp; Systems. Backlog was up 9% YoY and book-to-bill was 1.07. Management believes “mid-single-digit orders are sustainable for the remainder of 2026.” </w:t>
      </w:r>
      <w:r>
        <w:rPr>
          <w:rFonts w:ascii="Calibri" w:hAnsi="Calibri"/>
          <w:b/>
          <w:color w:val="525866"/>
          <w:sz w:val="22"/>
        </w:rPr>
        <w:t xml:space="preserve">ROK Read-Through: </w:t>
      </w:r>
      <w:r>
        <w:rPr>
          <w:rFonts w:ascii="Calibri" w:hAnsi="Calibri"/>
          <w:color w:val="525866"/>
          <w:sz w:val="22"/>
        </w:rPr>
        <w:t>Positive for ROK’s order trajectory; EMR’s sustained book-to-bill above 1.0 is consistent with ROK’s own Q2 book-to-bill slightly above the 0.95–1.1 corridor. Suggests the industrial automation order environment remains healthy heading into Q3.</w:t>
      </w:r>
    </w:p>
    <w:p>
      <w:pPr>
        <w:pStyle w:val="ListBullet"/>
        <w:ind w:left="360" w:hanging="360"/>
      </w:pPr>
      <w:r>
        <w:rPr>
          <w:rFonts w:ascii="Calibri" w:hAnsi="Calibri"/>
          <w:b/>
          <w:color w:val="525866"/>
          <w:sz w:val="22"/>
        </w:rPr>
        <w:t xml:space="preserve">North America Pace Remains Strong; MRO Resilient (Q2 FY2026, May 5): </w:t>
      </w:r>
      <w:r>
        <w:rPr>
          <w:rFonts w:ascii="Calibri" w:hAnsi="Calibri"/>
          <w:color w:val="525866"/>
          <w:sz w:val="22"/>
        </w:rPr>
        <w:t xml:space="preserve">EMR noted “the pace of business in North America remains strong” with MRO representing 65% of sales and showing “resilient spend.” Europe was “stable but soft” (-4% underlying), and China started slower than expected. </w:t>
      </w:r>
      <w:r>
        <w:rPr>
          <w:rFonts w:ascii="Calibri" w:hAnsi="Calibri"/>
          <w:b/>
          <w:color w:val="525866"/>
          <w:sz w:val="22"/>
        </w:rPr>
        <w:t xml:space="preserve">ROK Read-Through: </w:t>
      </w:r>
      <w:r>
        <w:rPr>
          <w:rFonts w:ascii="Calibri" w:hAnsi="Calibri"/>
          <w:color w:val="525866"/>
          <w:sz w:val="22"/>
        </w:rPr>
        <w:t>Positive for ROK’s North America-heavy revenue mix (~60%+ of sales); MRO resilience supports ROK’s Lifecycle Services segment. European softness is a modest headwind for ROK’s EMEA segment.</w:t>
      </w:r>
    </w:p>
    <w:p>
      <w:pPr>
        <w:pStyle w:val="ListBullet"/>
        <w:ind w:left="360" w:hanging="360"/>
      </w:pPr>
      <w:r>
        <w:rPr>
          <w:rFonts w:ascii="Calibri" w:hAnsi="Calibri"/>
          <w:b/>
          <w:color w:val="525866"/>
          <w:sz w:val="22"/>
        </w:rPr>
        <w:t xml:space="preserve">Middle East Conflict Impact: 1-Point Headwind to FY2026 Underlying Sales (Q2 FY2026, May 5): </w:t>
      </w:r>
      <w:r>
        <w:rPr>
          <w:rFonts w:ascii="Calibri" w:hAnsi="Calibri"/>
          <w:color w:val="525866"/>
          <w:sz w:val="22"/>
        </w:rPr>
        <w:t xml:space="preserve">EMR guided the Middle East conflict to impact FY2026 underlying sales by ~1 point, with Intelligent Devices sales impacted by 2 points in Q2. The Strait of Hormuz remains effectively closed but alternative logistics routes are being implemented. </w:t>
      </w:r>
      <w:r>
        <w:rPr>
          <w:rFonts w:ascii="Calibri" w:hAnsi="Calibri"/>
          <w:b/>
          <w:color w:val="525866"/>
          <w:sz w:val="22"/>
        </w:rPr>
        <w:t xml:space="preserve">ROK Read-Through: </w:t>
      </w:r>
      <w:r>
        <w:rPr>
          <w:rFonts w:ascii="Calibri" w:hAnsi="Calibri"/>
          <w:color w:val="525866"/>
          <w:sz w:val="22"/>
        </w:rPr>
        <w:t>Modest negative for ROK’s Lifecycle Services segment, which has process automation exposure in the Middle East. Management noted the impact is “currently limited” for FY2026 but bears watching in Q3 commentary.</w:t>
      </w:r>
    </w:p>
    <w:p>
      <w:pPr>
        <w:pStyle w:val="ListBullet"/>
        <w:ind w:left="360" w:hanging="360"/>
      </w:pPr>
      <w:r>
        <w:rPr>
          <w:rFonts w:ascii="Calibri" w:hAnsi="Calibri"/>
          <w:b/>
          <w:color w:val="525866"/>
          <w:sz w:val="22"/>
        </w:rPr>
        <w:t xml:space="preserve">China Down Mid-Single Digits for FY2026 (Q2 FY2026, May 5): </w:t>
      </w:r>
      <w:r>
        <w:rPr>
          <w:rFonts w:ascii="Calibri" w:hAnsi="Calibri"/>
          <w:color w:val="525866"/>
          <w:sz w:val="22"/>
        </w:rPr>
        <w:t xml:space="preserve">EMR revised China expectations from “low single-digit down” to “mid-single-digit down” for FY2026, driven by overcapacity in the chemical industry. </w:t>
      </w:r>
      <w:r>
        <w:rPr>
          <w:rFonts w:ascii="Calibri" w:hAnsi="Calibri"/>
          <w:b/>
          <w:color w:val="525866"/>
          <w:sz w:val="22"/>
        </w:rPr>
        <w:t xml:space="preserve">ROK Read-Through: </w:t>
      </w:r>
      <w:r>
        <w:rPr>
          <w:rFonts w:ascii="Calibri" w:hAnsi="Calibri"/>
          <w:color w:val="525866"/>
          <w:sz w:val="22"/>
        </w:rPr>
        <w:t>Modest negative for ROK’s Asia Pacific segment; ROK’s China exposure is primarily in discrete manufacturing (machine builders) rather than chemicals, so the read-through is partial. Watch for any commentary on China machine builder demand in Q3.</w:t>
      </w:r>
    </w:p>
    <w:p>
      <w:pPr>
        <w:pStyle w:val="ListBullet"/>
        <w:ind w:left="360" w:hanging="360"/>
      </w:pPr>
      <w:r>
        <w:rPr>
          <w:rFonts w:ascii="Calibri" w:hAnsi="Calibri"/>
          <w:b/>
          <w:color w:val="525866"/>
          <w:sz w:val="22"/>
        </w:rPr>
        <w:t xml:space="preserve">Q3 FY2026 Outlook: ~5% Underlying Sales Growth, Adj. EPS $1.65–$1.70 (Q2 FY2026, May 5): </w:t>
      </w:r>
      <w:r>
        <w:rPr>
          <w:rFonts w:ascii="Calibri" w:hAnsi="Calibri"/>
          <w:color w:val="525866"/>
          <w:sz w:val="22"/>
        </w:rPr>
        <w:t xml:space="preserve">EMR guided Q3 overall sales growth of ~5.5% with underlying growth of ~5%, and adjusted segment EBITDA margin of ~28%. Software &amp; Systems expected up ~8% in Q3. </w:t>
      </w:r>
      <w:r>
        <w:rPr>
          <w:rFonts w:ascii="Calibri" w:hAnsi="Calibri"/>
          <w:b/>
          <w:color w:val="525866"/>
          <w:sz w:val="22"/>
        </w:rPr>
        <w:t xml:space="preserve">ROK Read-Through: </w:t>
      </w:r>
      <w:r>
        <w:rPr>
          <w:rFonts w:ascii="Calibri" w:hAnsi="Calibri"/>
          <w:color w:val="525866"/>
          <w:sz w:val="22"/>
        </w:rPr>
        <w:t>Consistent with ROK’s own ~6–7% organic growth guidance for Q3; EMR’s software-led growth is a positive read-through for ROK’s Software &amp; Control segment.</w:t>
      </w:r>
    </w:p>
    <w:p>
      <w:pPr>
        <w:pStyle w:val="Heading3"/>
      </w:pPr>
      <w:r>
        <w:rPr>
          <w:rFonts w:ascii="Calibri" w:hAnsi="Calibri"/>
          <w:b/>
          <w:color w:val="3B4259"/>
          <w:sz w:val="24"/>
        </w:rPr>
        <w:t>Honeywell (HON) — Guidance Update Call (June 8, 2026) &amp; Q2 2026 Earnings (July 23, 2026)</w:t>
      </w:r>
    </w:p>
    <w:p>
      <w:r>
        <w:rPr>
          <w:rFonts w:ascii="Calibri" w:hAnsi="Calibri"/>
          <w:b/>
          <w:color w:val="525866"/>
          <w:sz w:val="22"/>
        </w:rPr>
        <w:t xml:space="preserve">Read-Through Relevance: </w:t>
      </w:r>
      <w:r>
        <w:rPr>
          <w:rFonts w:ascii="Calibri" w:hAnsi="Calibri"/>
          <w:color w:val="525866"/>
          <w:sz w:val="22"/>
        </w:rPr>
        <w:t>HON’s industrial automation and process automation commentary is a read-through to ROK’s Software &amp; Control and Lifecycle Services segments; HON’s building automation data center commentary is relevant to ROK’s data center growth thesis.</w:t>
      </w:r>
    </w:p>
    <w:p>
      <w:pPr>
        <w:pStyle w:val="ListBullet"/>
        <w:ind w:left="360" w:hanging="360"/>
      </w:pPr>
      <w:r>
        <w:rPr>
          <w:rFonts w:ascii="Calibri" w:hAnsi="Calibri"/>
          <w:b/>
          <w:color w:val="525866"/>
          <w:sz w:val="22"/>
        </w:rPr>
        <w:t xml:space="preserve">Industrial Automation Short-Cycle Recovery Accelerating (Guidance Update, June 8): </w:t>
      </w:r>
      <w:r>
        <w:rPr>
          <w:rFonts w:ascii="Calibri" w:hAnsi="Calibri"/>
          <w:color w:val="525866"/>
          <w:sz w:val="22"/>
        </w:rPr>
        <w:t xml:space="preserve">HON raised full-year Industrial Automation expectations from “down low single digits” to “flat for the year,” citing short-cycle recovery particularly in Europe and Asia. Management noted the recovery is driven by self-help (simplification, supply chain improvement, pricing) plus reshoring tailwinds. China, previously expected to be a drag, is “not a drag.” </w:t>
      </w:r>
      <w:r>
        <w:rPr>
          <w:rFonts w:ascii="Calibri" w:hAnsi="Calibri"/>
          <w:b/>
          <w:color w:val="525866"/>
          <w:sz w:val="22"/>
        </w:rPr>
        <w:t xml:space="preserve">ROK Read-Through: </w:t>
      </w:r>
      <w:r>
        <w:rPr>
          <w:rFonts w:ascii="Calibri" w:hAnsi="Calibri"/>
          <w:color w:val="525866"/>
          <w:sz w:val="22"/>
        </w:rPr>
        <w:t>Positive for ROK’s Intelligent Devices segment; European machine tool builder demand (5 consecutive quarters of YoY growth for ROK) and reshoring trends are consistent themes. HON’s China surprise is a mild positive for ROK’s Asia Pacific segment.</w:t>
      </w:r>
    </w:p>
    <w:p>
      <w:pPr>
        <w:pStyle w:val="ListBullet"/>
        <w:ind w:left="360" w:hanging="360"/>
      </w:pPr>
      <w:r>
        <w:rPr>
          <w:rFonts w:ascii="Calibri" w:hAnsi="Calibri"/>
          <w:b/>
          <w:color w:val="525866"/>
          <w:sz w:val="22"/>
        </w:rPr>
        <w:t xml:space="preserve">Orders Strongest in 6 Years for Building Automation (Guidance Update, June 8): </w:t>
      </w:r>
      <w:r>
        <w:rPr>
          <w:rFonts w:ascii="Calibri" w:hAnsi="Calibri"/>
          <w:color w:val="525866"/>
          <w:sz w:val="22"/>
        </w:rPr>
        <w:t xml:space="preserve">HON reported Building Automation orders “closer to double digits” quarter-to-date through May, with management stating “I haven’t seen orders that strong yet in the company” in 6 years. Orders driven by data centers, hospitality, and healthcare. </w:t>
      </w:r>
      <w:r>
        <w:rPr>
          <w:rFonts w:ascii="Calibri" w:hAnsi="Calibri"/>
          <w:b/>
          <w:color w:val="525866"/>
          <w:sz w:val="22"/>
        </w:rPr>
        <w:t xml:space="preserve">ROK Read-Through: </w:t>
      </w:r>
      <w:r>
        <w:rPr>
          <w:rFonts w:ascii="Calibri" w:hAnsi="Calibri"/>
          <w:color w:val="525866"/>
          <w:sz w:val="22"/>
        </w:rPr>
        <w:t>Positive for ROK’s data center thesis; building automation demand for data centers is a direct read-through to ROK’s Logix-in-data-centers story. Strong building automation orders suggest the data center build-out is accelerating, not decelerating.</w:t>
      </w:r>
    </w:p>
    <w:p>
      <w:pPr>
        <w:pStyle w:val="ListBullet"/>
        <w:ind w:left="360" w:hanging="360"/>
      </w:pPr>
      <w:r>
        <w:rPr>
          <w:rFonts w:ascii="Calibri" w:hAnsi="Calibri"/>
          <w:b/>
          <w:color w:val="525866"/>
          <w:sz w:val="22"/>
        </w:rPr>
        <w:t xml:space="preserve">Process Automation Backlog Converting; Sharp H2 Inflection Expected (Q2 2026, July 23): </w:t>
      </w:r>
      <w:r>
        <w:rPr>
          <w:rFonts w:ascii="Calibri" w:hAnsi="Calibri"/>
          <w:color w:val="525866"/>
          <w:sz w:val="22"/>
        </w:rPr>
        <w:t xml:space="preserve">HON reported Process Automation orders up 24% organically in Q2, with book-to-bill above 1.2. Management expects “a sharp inflection in growth in process automation technology beginning in the third quarter,” led by backlog conversion and stronger catalyst shipments. HON is “sold out of LNG for the next three years.” </w:t>
      </w:r>
      <w:r>
        <w:rPr>
          <w:rFonts w:ascii="Calibri" w:hAnsi="Calibri"/>
          <w:b/>
          <w:color w:val="525866"/>
          <w:sz w:val="22"/>
        </w:rPr>
        <w:t xml:space="preserve">ROK Read-Through: </w:t>
      </w:r>
      <w:r>
        <w:rPr>
          <w:rFonts w:ascii="Calibri" w:hAnsi="Calibri"/>
          <w:color w:val="525866"/>
          <w:sz w:val="22"/>
        </w:rPr>
        <w:t>Mixed for ROK’s Lifecycle Services segment. The LNG and energy upcycle is a positive for ROK’s process automation exposure, but HON’s strong backlog conversion in Q3 may reflect project timing that doesn’t directly translate to ROK’s shorter-cycle LS business.</w:t>
      </w:r>
    </w:p>
    <w:p>
      <w:pPr>
        <w:pStyle w:val="ListBullet"/>
        <w:ind w:left="360" w:hanging="360"/>
      </w:pPr>
      <w:r>
        <w:rPr>
          <w:rFonts w:ascii="Calibri" w:hAnsi="Calibri"/>
          <w:b/>
          <w:color w:val="525866"/>
          <w:sz w:val="22"/>
        </w:rPr>
        <w:t xml:space="preserve">Industrial Automation Orders +11% in Q2; Short-Cycle Double-Digit Across All Segments (Q2 2026, July 23): </w:t>
      </w:r>
      <w:r>
        <w:rPr>
          <w:rFonts w:ascii="Calibri" w:hAnsi="Calibri"/>
          <w:color w:val="525866"/>
          <w:sz w:val="22"/>
        </w:rPr>
        <w:t xml:space="preserve">HON reported industrial automation orders up 11% (7% sequentially) in Q2, with sensing and industrial measurement orders up over 20%. “Every business printed double-digit short-cycle orders in Q2,” giving management “a lot of confidence in Q3 and Q4.” Full-year organic growth for industrial automation raised from “roughly flat” to “up low single digits.” </w:t>
      </w:r>
      <w:r>
        <w:rPr>
          <w:rFonts w:ascii="Calibri" w:hAnsi="Calibri"/>
          <w:b/>
          <w:color w:val="525866"/>
          <w:sz w:val="22"/>
        </w:rPr>
        <w:t xml:space="preserve">ROK Read-Through: </w:t>
      </w:r>
      <w:r>
        <w:rPr>
          <w:rFonts w:ascii="Calibri" w:hAnsi="Calibri"/>
          <w:color w:val="525866"/>
          <w:sz w:val="22"/>
        </w:rPr>
        <w:t>Positive for ROK’s Q3 order commentary; broad-based double-digit short-cycle order growth across industrial automation peers is a strong read-through for ROK’s book-to-bill remaining within or above the 0.95–1.1 corridor in Q3.</w:t>
      </w:r>
    </w:p>
    <w:p>
      <w:pPr>
        <w:pStyle w:val="ListBullet"/>
        <w:ind w:left="360" w:hanging="360"/>
      </w:pPr>
      <w:r>
        <w:rPr>
          <w:rFonts w:ascii="Calibri" w:hAnsi="Calibri"/>
          <w:b/>
          <w:color w:val="525866"/>
          <w:sz w:val="22"/>
        </w:rPr>
        <w:t xml:space="preserve">Data Center Expanding Beyond US; On-Site Power Generation Emerging (Q2 2026, July 23): </w:t>
      </w:r>
      <w:r>
        <w:rPr>
          <w:rFonts w:ascii="Calibri" w:hAnsi="Calibri"/>
          <w:color w:val="525866"/>
          <w:sz w:val="22"/>
        </w:rPr>
        <w:t xml:space="preserve">HON noted data center build-out has expanded beyond the US to Europe and Asia, and more data centers are incorporating on-site power generation — a new opportunity for HON’s process automation business. HON expects data center to grow from “almost nothing 3–4 years back” to “5% of the building automation business” and higher across Honeywell. </w:t>
      </w:r>
      <w:r>
        <w:rPr>
          <w:rFonts w:ascii="Calibri" w:hAnsi="Calibri"/>
          <w:b/>
          <w:color w:val="525866"/>
          <w:sz w:val="22"/>
        </w:rPr>
        <w:t xml:space="preserve">ROK Read-Through: </w:t>
      </w:r>
      <w:r>
        <w:rPr>
          <w:rFonts w:ascii="Calibri" w:hAnsi="Calibri"/>
          <w:color w:val="525866"/>
          <w:sz w:val="22"/>
        </w:rPr>
        <w:t>Positive for ROK’s data center growth trajectory; management’s own framing of data center growing from low single-digit % to ~5% of revenue “in the not-too-distant future” is consistent with HON’s experience. Global data center expansion is a tailwind for ROK’s EMEA and Asia Pacific segments.</w:t>
      </w:r>
    </w:p>
    <w:p>
      <w:pPr>
        <w:pStyle w:val="ListBullet"/>
        <w:ind w:left="360" w:hanging="360"/>
      </w:pPr>
      <w:r>
        <w:rPr>
          <w:rFonts w:ascii="Calibri" w:hAnsi="Calibri"/>
          <w:b/>
          <w:color w:val="525866"/>
          <w:sz w:val="22"/>
        </w:rPr>
        <w:t xml:space="preserve">Middle East Orders Up 50%+ in Q2; Reconstruction Underway (Q2 2026, July 23): </w:t>
      </w:r>
      <w:r>
        <w:rPr>
          <w:rFonts w:ascii="Calibri" w:hAnsi="Calibri"/>
          <w:color w:val="525866"/>
          <w:sz w:val="22"/>
        </w:rPr>
        <w:t xml:space="preserve">HON reported Middle East orders up over 50% in Q2, primarily driven by large process technology deals including refurbishment projects. Management confirmed reconstruction has already begun and expects ~40% orders growth for the full year in the region. </w:t>
      </w:r>
      <w:r>
        <w:rPr>
          <w:rFonts w:ascii="Calibri" w:hAnsi="Calibri"/>
          <w:b/>
          <w:color w:val="525866"/>
          <w:sz w:val="22"/>
        </w:rPr>
        <w:t xml:space="preserve">ROK Read-Through: </w:t>
      </w:r>
      <w:r>
        <w:rPr>
          <w:rFonts w:ascii="Calibri" w:hAnsi="Calibri"/>
          <w:color w:val="525866"/>
          <w:sz w:val="22"/>
        </w:rPr>
        <w:t>Modestly positive for ROK’s Lifecycle Services segment; if Middle East reconstruction is accelerating for process automation peers, ROK’s process automation exposure (retained from Sensia dissolution) could see incremental demand in FY2027. Near-term impact for Q3 is likely limited.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the Q2 earnings print has been sales, with the majority executed under pre-established 10b5-1 plans — </w:t>
      </w:r>
      <w:r>
        <w:rPr>
          <w:rFonts w:ascii="Calibri" w:hAnsi="Calibri"/>
          <w:b/>
          <w:color w:val="525866"/>
          <w:sz w:val="22"/>
        </w:rPr>
        <w:t>no open-market buys and no discretionary sales of unusual size</w:t>
      </w:r>
      <w:r>
        <w:rPr>
          <w:rFonts w:ascii="Calibri" w:hAnsi="Calibri"/>
          <w:color w:val="525866"/>
          <w:sz w:val="22"/>
        </w:rPr>
        <w:t>. The one non-10b5-1 sale (Riesterer, May 7) is notable but small in dollar terms. Overall, the insider picture is unremarkable and does not signal concern.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Riesterer, Terry L.</w:t>
            </w:r>
          </w:p>
        </w:tc>
        <w:tc>
          <w:tcPr>
            <w:tcW w:type="dxa" w:w="1234"/>
          </w:tcPr>
          <w:p>
            <w:r>
              <w:rPr>
                <w:rFonts w:ascii="Calibri" w:hAnsi="Calibri"/>
                <w:sz w:val="22"/>
              </w:rPr>
              <w:t>VP &amp; Controller</w:t>
            </w:r>
          </w:p>
        </w:tc>
        <w:tc>
          <w:tcPr>
            <w:tcW w:type="dxa" w:w="1234"/>
          </w:tcPr>
          <w:p>
            <w:r>
              <w:rPr>
                <w:rFonts w:ascii="Calibri" w:hAnsi="Calibri"/>
                <w:sz w:val="22"/>
              </w:rPr>
              <w:t>Open Market Sale</w:t>
            </w:r>
          </w:p>
        </w:tc>
        <w:tc>
          <w:tcPr>
            <w:tcW w:type="dxa" w:w="1234"/>
          </w:tcPr>
          <w:p>
            <w:r>
              <w:rPr>
                <w:rFonts w:ascii="Calibri" w:hAnsi="Calibri"/>
                <w:sz w:val="22"/>
              </w:rPr>
              <w:t>4,024</w:t>
            </w:r>
          </w:p>
        </w:tc>
        <w:tc>
          <w:tcPr>
            <w:tcW w:type="dxa" w:w="1234"/>
          </w:tcPr>
          <w:p>
            <w:r>
              <w:rPr>
                <w:rFonts w:ascii="Calibri" w:hAnsi="Calibri"/>
                <w:sz w:val="22"/>
              </w:rPr>
              <w:t>~$1.8M</w:t>
            </w:r>
          </w:p>
        </w:tc>
        <w:tc>
          <w:tcPr>
            <w:tcW w:type="dxa" w:w="1234"/>
          </w:tcPr>
          <w:p>
            <w:r>
              <w:rPr>
                <w:rFonts w:ascii="Calibri" w:hAnsi="Calibri"/>
                <w:sz w:val="22"/>
              </w:rPr>
              <w:t>May 7, 2026</w:t>
            </w:r>
          </w:p>
        </w:tc>
        <w:tc>
          <w:tcPr>
            <w:tcW w:type="dxa" w:w="1234"/>
          </w:tcPr>
          <w:p>
            <w:r>
              <w:rPr>
                <w:rFonts w:ascii="Calibri" w:hAnsi="Calibri"/>
                <w:sz w:val="22"/>
              </w:rPr>
              <w:t>Discretionary sale (no 10b5-1 plan); 2 days post-earnings; left only 134 shares; largest sale in the dataset</w:t>
            </w:r>
          </w:p>
        </w:tc>
      </w:tr>
      <w:tr>
        <w:tc>
          <w:tcPr>
            <w:tcW w:type="dxa" w:w="1234"/>
          </w:tcPr>
          <w:p>
            <w:r>
              <w:rPr>
                <w:rFonts w:ascii="Calibri" w:hAnsi="Calibri"/>
                <w:sz w:val="22"/>
              </w:rPr>
              <w:t>Fordenwalt, Matthew W.</w:t>
            </w:r>
          </w:p>
        </w:tc>
        <w:tc>
          <w:tcPr>
            <w:tcW w:type="dxa" w:w="1234"/>
          </w:tcPr>
          <w:p>
            <w:r>
              <w:rPr>
                <w:rFonts w:ascii="Calibri" w:hAnsi="Calibri"/>
                <w:sz w:val="22"/>
              </w:rPr>
              <w:t>SVP, Lifecycle Services</w:t>
            </w:r>
          </w:p>
        </w:tc>
        <w:tc>
          <w:tcPr>
            <w:tcW w:type="dxa" w:w="1234"/>
          </w:tcPr>
          <w:p>
            <w:r>
              <w:rPr>
                <w:rFonts w:ascii="Calibri" w:hAnsi="Calibri"/>
                <w:sz w:val="22"/>
              </w:rPr>
              <w:t>10b5-1 Planned Sale</w:t>
            </w:r>
          </w:p>
        </w:tc>
        <w:tc>
          <w:tcPr>
            <w:tcW w:type="dxa" w:w="1234"/>
          </w:tcPr>
          <w:p>
            <w:r>
              <w:rPr>
                <w:rFonts w:ascii="Calibri" w:hAnsi="Calibri"/>
                <w:sz w:val="22"/>
              </w:rPr>
              <w:t>600</w:t>
            </w:r>
          </w:p>
        </w:tc>
        <w:tc>
          <w:tcPr>
            <w:tcW w:type="dxa" w:w="1234"/>
          </w:tcPr>
          <w:p>
            <w:r>
              <w:rPr>
                <w:rFonts w:ascii="Calibri" w:hAnsi="Calibri"/>
                <w:sz w:val="22"/>
              </w:rPr>
              <w:t>~$261K</w:t>
            </w:r>
          </w:p>
        </w:tc>
        <w:tc>
          <w:tcPr>
            <w:tcW w:type="dxa" w:w="1234"/>
          </w:tcPr>
          <w:p>
            <w:r>
              <w:rPr>
                <w:rFonts w:ascii="Calibri" w:hAnsi="Calibri"/>
                <w:sz w:val="22"/>
              </w:rPr>
              <w:t>May 5, 2026</w:t>
            </w:r>
          </w:p>
        </w:tc>
        <w:tc>
          <w:tcPr>
            <w:tcW w:type="dxa" w:w="1234"/>
          </w:tcPr>
          <w:p>
            <w:r>
              <w:rPr>
                <w:rFonts w:ascii="Calibri" w:hAnsi="Calibri"/>
                <w:sz w:val="22"/>
              </w:rPr>
              <w:t>Pre-planned; executed on earnings day; routine</w:t>
            </w:r>
          </w:p>
        </w:tc>
      </w:tr>
      <w:tr>
        <w:tc>
          <w:tcPr>
            <w:tcW w:type="dxa" w:w="1234"/>
          </w:tcPr>
          <w:p>
            <w:r>
              <w:rPr>
                <w:rFonts w:ascii="Calibri" w:hAnsi="Calibri"/>
                <w:sz w:val="22"/>
              </w:rPr>
              <w:t>Genereux, Scott</w:t>
            </w:r>
          </w:p>
        </w:tc>
        <w:tc>
          <w:tcPr>
            <w:tcW w:type="dxa" w:w="1234"/>
          </w:tcPr>
          <w:p>
            <w:r>
              <w:rPr>
                <w:rFonts w:ascii="Calibri" w:hAnsi="Calibri"/>
                <w:sz w:val="22"/>
              </w:rPr>
              <w:t>SVP, Chief Revenue Officer</w:t>
            </w:r>
          </w:p>
        </w:tc>
        <w:tc>
          <w:tcPr>
            <w:tcW w:type="dxa" w:w="1234"/>
          </w:tcPr>
          <w:p>
            <w:r>
              <w:rPr>
                <w:rFonts w:ascii="Calibri" w:hAnsi="Calibri"/>
                <w:sz w:val="22"/>
              </w:rPr>
              <w:t>10b5-1 Planned Sale</w:t>
            </w:r>
          </w:p>
        </w:tc>
        <w:tc>
          <w:tcPr>
            <w:tcW w:type="dxa" w:w="1234"/>
          </w:tcPr>
          <w:p>
            <w:r>
              <w:rPr>
                <w:rFonts w:ascii="Calibri" w:hAnsi="Calibri"/>
                <w:sz w:val="22"/>
              </w:rPr>
              <w:t>550</w:t>
            </w:r>
          </w:p>
        </w:tc>
        <w:tc>
          <w:tcPr>
            <w:tcW w:type="dxa" w:w="1234"/>
          </w:tcPr>
          <w:p>
            <w:r>
              <w:rPr>
                <w:rFonts w:ascii="Calibri" w:hAnsi="Calibri"/>
                <w:sz w:val="22"/>
              </w:rPr>
              <w:t>~$240K</w:t>
            </w:r>
          </w:p>
        </w:tc>
        <w:tc>
          <w:tcPr>
            <w:tcW w:type="dxa" w:w="1234"/>
          </w:tcPr>
          <w:p>
            <w:r>
              <w:rPr>
                <w:rFonts w:ascii="Calibri" w:hAnsi="Calibri"/>
                <w:sz w:val="22"/>
              </w:rPr>
              <w:t>May 5, 2026</w:t>
            </w:r>
          </w:p>
        </w:tc>
        <w:tc>
          <w:tcPr>
            <w:tcW w:type="dxa" w:w="1234"/>
          </w:tcPr>
          <w:p>
            <w:r>
              <w:rPr>
                <w:rFonts w:ascii="Calibri" w:hAnsi="Calibri"/>
                <w:sz w:val="22"/>
              </w:rPr>
              <w:t>Pre-planned; executed on earnings day; routine</w:t>
            </w:r>
          </w:p>
        </w:tc>
      </w:tr>
      <w:tr>
        <w:tc>
          <w:tcPr>
            <w:tcW w:type="dxa" w:w="1234"/>
          </w:tcPr>
          <w:p>
            <w:r>
              <w:rPr>
                <w:rFonts w:ascii="Calibri" w:hAnsi="Calibri"/>
                <w:sz w:val="22"/>
              </w:rPr>
              <w:t>Nardecchia, Christopher</w:t>
            </w:r>
          </w:p>
        </w:tc>
        <w:tc>
          <w:tcPr>
            <w:tcW w:type="dxa" w:w="1234"/>
          </w:tcPr>
          <w:p>
            <w:r>
              <w:rPr>
                <w:rFonts w:ascii="Calibri" w:hAnsi="Calibri"/>
                <w:sz w:val="22"/>
              </w:rPr>
              <w:t>SVP, Chief Information Officer</w:t>
            </w:r>
          </w:p>
        </w:tc>
        <w:tc>
          <w:tcPr>
            <w:tcW w:type="dxa" w:w="1234"/>
          </w:tcPr>
          <w:p>
            <w:r>
              <w:rPr>
                <w:rFonts w:ascii="Calibri" w:hAnsi="Calibri"/>
                <w:sz w:val="22"/>
              </w:rPr>
              <w:t>10b5-1 Planned Sale</w:t>
            </w:r>
          </w:p>
        </w:tc>
        <w:tc>
          <w:tcPr>
            <w:tcW w:type="dxa" w:w="1234"/>
          </w:tcPr>
          <w:p>
            <w:r>
              <w:rPr>
                <w:rFonts w:ascii="Calibri" w:hAnsi="Calibri"/>
                <w:sz w:val="22"/>
              </w:rPr>
              <w:t>2,538</w:t>
            </w:r>
          </w:p>
        </w:tc>
        <w:tc>
          <w:tcPr>
            <w:tcW w:type="dxa" w:w="1234"/>
          </w:tcPr>
          <w:p>
            <w:r>
              <w:rPr>
                <w:rFonts w:ascii="Calibri" w:hAnsi="Calibri"/>
                <w:sz w:val="22"/>
              </w:rPr>
              <w:t>~$1.1M</w:t>
            </w:r>
          </w:p>
        </w:tc>
        <w:tc>
          <w:tcPr>
            <w:tcW w:type="dxa" w:w="1234"/>
          </w:tcPr>
          <w:p>
            <w:r>
              <w:rPr>
                <w:rFonts w:ascii="Calibri" w:hAnsi="Calibri"/>
                <w:sz w:val="22"/>
              </w:rPr>
              <w:t>May 5, 2026</w:t>
            </w:r>
          </w:p>
        </w:tc>
        <w:tc>
          <w:tcPr>
            <w:tcW w:type="dxa" w:w="1234"/>
          </w:tcPr>
          <w:p>
            <w:r>
              <w:rPr>
                <w:rFonts w:ascii="Calibri" w:hAnsi="Calibri"/>
                <w:sz w:val="22"/>
              </w:rPr>
              <w:t>Pre-planned; executed on earnings day; largest 10b5-1 sale in the dataset; routine</w:t>
            </w:r>
          </w:p>
        </w:tc>
      </w:tr>
      <w:tr>
        <w:tc>
          <w:tcPr>
            <w:tcW w:type="dxa" w:w="1234"/>
          </w:tcPr>
          <w:p>
            <w:r>
              <w:rPr>
                <w:rFonts w:ascii="Calibri" w:hAnsi="Calibri"/>
                <w:sz w:val="22"/>
              </w:rPr>
              <w:t>Fordenwalt, Matthew W.</w:t>
            </w:r>
          </w:p>
        </w:tc>
        <w:tc>
          <w:tcPr>
            <w:tcW w:type="dxa" w:w="1234"/>
          </w:tcPr>
          <w:p>
            <w:r>
              <w:rPr>
                <w:rFonts w:ascii="Calibri" w:hAnsi="Calibri"/>
                <w:sz w:val="22"/>
              </w:rPr>
              <w:t>SVP, Lifecycle Services</w:t>
            </w:r>
          </w:p>
        </w:tc>
        <w:tc>
          <w:tcPr>
            <w:tcW w:type="dxa" w:w="1234"/>
          </w:tcPr>
          <w:p>
            <w:r>
              <w:rPr>
                <w:rFonts w:ascii="Calibri" w:hAnsi="Calibri"/>
                <w:sz w:val="22"/>
              </w:rPr>
              <w:t>10b5-1 Planned Sale</w:t>
            </w:r>
          </w:p>
        </w:tc>
        <w:tc>
          <w:tcPr>
            <w:tcW w:type="dxa" w:w="1234"/>
          </w:tcPr>
          <w:p>
            <w:r>
              <w:rPr>
                <w:rFonts w:ascii="Calibri" w:hAnsi="Calibri"/>
                <w:sz w:val="22"/>
              </w:rPr>
              <w:t>377</w:t>
            </w:r>
          </w:p>
        </w:tc>
        <w:tc>
          <w:tcPr>
            <w:tcW w:type="dxa" w:w="1234"/>
          </w:tcPr>
          <w:p>
            <w:r>
              <w:rPr>
                <w:rFonts w:ascii="Calibri" w:hAnsi="Calibri"/>
                <w:sz w:val="22"/>
              </w:rPr>
              <w:t>~$174K</w:t>
            </w:r>
          </w:p>
        </w:tc>
        <w:tc>
          <w:tcPr>
            <w:tcW w:type="dxa" w:w="1234"/>
          </w:tcPr>
          <w:p>
            <w:r>
              <w:rPr>
                <w:rFonts w:ascii="Calibri" w:hAnsi="Calibri"/>
                <w:sz w:val="22"/>
              </w:rPr>
              <w:t>June 4, 2026</w:t>
            </w:r>
          </w:p>
        </w:tc>
        <w:tc>
          <w:tcPr>
            <w:tcW w:type="dxa" w:w="1234"/>
          </w:tcPr>
          <w:p>
            <w:r>
              <w:rPr>
                <w:rFonts w:ascii="Calibri" w:hAnsi="Calibri"/>
                <w:sz w:val="22"/>
              </w:rPr>
              <w:t>Pre-planned; routine follow-on sale</w:t>
            </w:r>
          </w:p>
        </w:tc>
      </w:tr>
      <w:tr>
        <w:tc>
          <w:tcPr>
            <w:tcW w:type="dxa" w:w="1234"/>
          </w:tcPr>
          <w:p>
            <w:r>
              <w:rPr>
                <w:rFonts w:ascii="Calibri" w:hAnsi="Calibri"/>
                <w:sz w:val="22"/>
              </w:rPr>
              <w:t>Riesterer, Terry L.</w:t>
            </w:r>
          </w:p>
        </w:tc>
        <w:tc>
          <w:tcPr>
            <w:tcW w:type="dxa" w:w="1234"/>
          </w:tcPr>
          <w:p>
            <w:r>
              <w:rPr>
                <w:rFonts w:ascii="Calibri" w:hAnsi="Calibri"/>
                <w:sz w:val="22"/>
              </w:rPr>
              <w:t>VP &amp; Controller</w:t>
            </w:r>
          </w:p>
        </w:tc>
        <w:tc>
          <w:tcPr>
            <w:tcW w:type="dxa" w:w="1234"/>
          </w:tcPr>
          <w:p>
            <w:r>
              <w:rPr>
                <w:rFonts w:ascii="Calibri" w:hAnsi="Calibri"/>
                <w:sz w:val="22"/>
              </w:rPr>
              <w:t>10b5-1 Planned Sale</w:t>
            </w:r>
          </w:p>
        </w:tc>
        <w:tc>
          <w:tcPr>
            <w:tcW w:type="dxa" w:w="1234"/>
          </w:tcPr>
          <w:p>
            <w:r>
              <w:rPr>
                <w:rFonts w:ascii="Calibri" w:hAnsi="Calibri"/>
                <w:sz w:val="22"/>
              </w:rPr>
              <w:t>281</w:t>
            </w:r>
          </w:p>
        </w:tc>
        <w:tc>
          <w:tcPr>
            <w:tcW w:type="dxa" w:w="1234"/>
          </w:tcPr>
          <w:p>
            <w:r>
              <w:rPr>
                <w:rFonts w:ascii="Calibri" w:hAnsi="Calibri"/>
                <w:sz w:val="22"/>
              </w:rPr>
              <w:t>~$131K</w:t>
            </w:r>
          </w:p>
        </w:tc>
        <w:tc>
          <w:tcPr>
            <w:tcW w:type="dxa" w:w="1234"/>
          </w:tcPr>
          <w:p>
            <w:r>
              <w:rPr>
                <w:rFonts w:ascii="Calibri" w:hAnsi="Calibri"/>
                <w:sz w:val="22"/>
              </w:rPr>
              <w:t>July 16, 2026</w:t>
            </w:r>
          </w:p>
        </w:tc>
        <w:tc>
          <w:tcPr>
            <w:tcW w:type="dxa" w:w="1234"/>
          </w:tcPr>
          <w:p>
            <w:r>
              <w:rPr>
                <w:rFonts w:ascii="Calibri" w:hAnsi="Calibri"/>
                <w:sz w:val="22"/>
              </w:rPr>
              <w:t>Pre-planned; routine; small size</w:t>
            </w:r>
          </w:p>
        </w:tc>
      </w:tr>
    </w:tbl>
    <w:p>
      <w:r>
        <w:rPr>
          <w:rFonts w:ascii="Calibri" w:hAnsi="Calibri"/>
          <w:i/>
          <w:color w:val="525866"/>
          <w:sz w:val="22"/>
        </w:rPr>
        <w:t>Source: SEC Form 4 filings (insider transaction data). Approximate values estimated using stock price at or near transaction date.</w:t>
      </w:r>
    </w:p>
    <w:p>
      <w:r>
        <w:rPr>
          <w:rFonts w:ascii="Calibri" w:hAnsi="Calibri"/>
          <w:b/>
          <w:color w:val="525866"/>
          <w:sz w:val="22"/>
        </w:rPr>
        <w:t xml:space="preserve">Analysis: </w:t>
      </w:r>
      <w:r>
        <w:rPr>
          <w:rFonts w:ascii="Calibri" w:hAnsi="Calibri"/>
          <w:color w:val="525866"/>
          <w:sz w:val="22"/>
        </w:rPr>
        <w:t>The Riesterer May 7 discretionary sale (4,024 shares, ~$1.8M) is the only non-10b5-1 transaction in the period and warrants a flag — it was executed two days after the Q2 earnings beat at a price near $450, and left the VP &amp; Controller with only 134 shares. However, the dollar amount is modest relative to the company’s market cap and the timing (post-earnings, post-blackout window opening) is consistent with a personal liquidity decision rather than a negative signal about the business. All other transactions are pre-planned 10b5-1 sales executed on or shortly after earnings day, which is a standard pattern. No open-market buys were recorded in the period, which is neutral — the absence of buys is not unusual given the stock’s strong run and elevated valuation.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