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Rockwell Automation (ROK) — FY2026 Q3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Rockwell Automation, Inc.</w:t>
            </w:r>
          </w:p>
        </w:tc>
      </w:tr>
      <w:tr>
        <w:tc>
          <w:tcPr>
            <w:tcW w:type="dxa" w:w="4320"/>
          </w:tcPr>
          <w:p>
            <w:r>
              <w:rPr>
                <w:rFonts w:ascii="Calibri" w:hAnsi="Calibri"/>
                <w:b/>
                <w:sz w:val="22"/>
              </w:rPr>
              <w:t>Ticker</w:t>
            </w:r>
          </w:p>
        </w:tc>
        <w:tc>
          <w:tcPr>
            <w:tcW w:type="dxa" w:w="4320"/>
          </w:tcPr>
          <w:p>
            <w:r>
              <w:rPr>
                <w:rFonts w:ascii="Calibri" w:hAnsi="Calibri"/>
                <w:sz w:val="22"/>
              </w:rPr>
              <w:t>NYSE: ROK</w:t>
            </w:r>
          </w:p>
        </w:tc>
      </w:tr>
      <w:tr>
        <w:tc>
          <w:tcPr>
            <w:tcW w:type="dxa" w:w="4320"/>
          </w:tcPr>
          <w:p>
            <w:r>
              <w:rPr>
                <w:rFonts w:ascii="Calibri" w:hAnsi="Calibri"/>
                <w:b/>
                <w:sz w:val="22"/>
              </w:rPr>
              <w:t>Upcoming Earnings Date</w:t>
            </w:r>
          </w:p>
        </w:tc>
        <w:tc>
          <w:tcPr>
            <w:tcW w:type="dxa" w:w="4320"/>
          </w:tcPr>
          <w:p>
            <w:r>
              <w:rPr>
                <w:rFonts w:ascii="Calibri" w:hAnsi="Calibri"/>
                <w:sz w:val="22"/>
              </w:rPr>
              <w:t>August 4, 2026 (Pre-Market, 8:30 AM ET)</w:t>
            </w:r>
          </w:p>
        </w:tc>
      </w:tr>
      <w:tr>
        <w:tc>
          <w:tcPr>
            <w:tcW w:type="dxa" w:w="4320"/>
          </w:tcPr>
          <w:p>
            <w:r>
              <w:rPr>
                <w:rFonts w:ascii="Calibri" w:hAnsi="Calibri"/>
                <w:b/>
                <w:sz w:val="22"/>
              </w:rPr>
              <w:t>Reporting Period</w:t>
            </w:r>
          </w:p>
        </w:tc>
        <w:tc>
          <w:tcPr>
            <w:tcW w:type="dxa" w:w="4320"/>
          </w:tcPr>
          <w:p>
            <w:r>
              <w:rPr>
                <w:rFonts w:ascii="Calibri" w:hAnsi="Calibri"/>
                <w:sz w:val="22"/>
              </w:rPr>
              <w:t>FY2026 Q3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has drifted only modestly higher since the Q2 blowout, the bar for Q3 organic growth (~6.4%) is achievable given management's own mid-to-high-teens EPS growth guide, and the stock has not fully priced in the second-half margin recovery story. The biggest swing factor is whether Software &amp; Control margins can hold up against the guided memory-chip headwind.</w:t>
      </w:r>
    </w:p>
    <w:p>
      <w:r>
        <w:rPr>
          <w:rFonts w:ascii="Calibri" w:hAnsi="Calibri"/>
          <w:color w:val="525866"/>
          <w:sz w:val="22"/>
        </w:rPr>
        <w:t xml:space="preserve">Heading into ROK's FY2026 Q3 print, the setup is constructive but nuanced. Management guided Q3 adjusted EPS to be "up about $0.05 sequentially" from Q2's $3.30 — implying roughly $3.35 — and consensus has settled at $3.39, a modest premium that reflects confidence in the demand trajectory without pricing in a repeat of Q2's blowout. </w:t>
      </w:r>
    </w:p>
    <w:p>
      <w:r>
        <w:rPr>
          <w:rFonts w:ascii="Calibri" w:hAnsi="Calibri"/>
          <w:b/>
          <w:color w:val="525866"/>
          <w:sz w:val="22"/>
        </w:rPr>
        <w:t xml:space="preserve">Bar: </w:t>
      </w:r>
      <w:r>
        <w:rPr>
          <w:rFonts w:ascii="Calibri" w:hAnsi="Calibri"/>
          <w:color w:val="525866"/>
          <w:sz w:val="22"/>
        </w:rPr>
        <w:t>Consensus organic growth of ~6.4% sits comfortably within management's full-year 5–9% guide, and the Q3 revenue estimate of ~$2.25B is roughly flat sequentially — exactly what management telegraphed, adjusting for the ~$50M Sensia dissolution headwind offset by Intelligent Devices growth. The bar is achievable but not low.</w:t>
      </w:r>
    </w:p>
    <w:p>
      <w:r>
        <w:rPr>
          <w:rFonts w:ascii="Calibri" w:hAnsi="Calibri"/>
          <w:b/>
          <w:color w:val="525866"/>
          <w:sz w:val="22"/>
        </w:rPr>
        <w:t xml:space="preserve">Guidance/Tone: </w:t>
      </w:r>
      <w:r>
        <w:rPr>
          <w:rFonts w:ascii="Calibri" w:hAnsi="Calibri"/>
          <w:color w:val="525866"/>
          <w:sz w:val="22"/>
        </w:rPr>
        <w:t>Management's posture has been consistently confident since the May 5 beat-and-raise. At the Wells Fargo (June 11) and Baird (June 2) conferences, the CFO reaffirmed the 7% organic midpoint and noted early Q3 demand trends were tracking the Q2 trajectory. The one explicit caution: Software &amp; Control margins will step down sequentially in Q3 due to memory chip cost inflation (a "double-digit million dollar" H2 headwind), which management flagged proactively.</w:t>
      </w:r>
    </w:p>
    <w:p>
      <w:r>
        <w:rPr>
          <w:rFonts w:ascii="Calibri" w:hAnsi="Calibri"/>
          <w:b/>
          <w:color w:val="525866"/>
          <w:sz w:val="22"/>
        </w:rPr>
        <w:t xml:space="preserve">Estimate Trajectory: </w:t>
      </w:r>
      <w:r>
        <w:rPr>
          <w:rFonts w:ascii="Calibri" w:hAnsi="Calibri"/>
          <w:color w:val="525866"/>
          <w:sz w:val="22"/>
        </w:rPr>
        <w:t>Q3 EPS estimates have risen from $3.38 at the post-Q2 baseline (May 8) to $3.39 today — essentially flat, suggesting the street has already absorbed the guidance raise and is not chasing further upside. Full-year EPS estimates have moved from $12.99 to $13.04 over the same window, a modest drift higher. The lack of aggressive upward revision is a cushion, not a risk.</w:t>
      </w:r>
    </w:p>
    <w:p>
      <w:r>
        <w:rPr>
          <w:rFonts w:ascii="Calibri" w:hAnsi="Calibri"/>
          <w:b/>
          <w:color w:val="525866"/>
          <w:sz w:val="22"/>
        </w:rPr>
        <w:t xml:space="preserve">Stock Setup: </w:t>
      </w:r>
      <w:r>
        <w:rPr>
          <w:rFonts w:ascii="Calibri" w:hAnsi="Calibri"/>
          <w:color w:val="525866"/>
          <w:sz w:val="22"/>
        </w:rPr>
        <w:t>ROK has rallied ~10% since the Q2 print (from $435.93 to ~$481), outperforming XLI (+6%) and SPY (+5%). At ~35x NTM P/E and ~23.6x EV/EBITDA, the multiple is elevated versus history but reflects the quality of the margin expansion story. The stock is not pricing in a miss, but it is also not pricing in a material upside surprise — a clean beat-and-hold is the base case.</w:t>
      </w:r>
    </w:p>
    <w:p>
      <w:r>
        <w:rPr>
          <w:rFonts w:ascii="Calibri" w:hAnsi="Calibri"/>
          <w:b/>
          <w:color w:val="525866"/>
          <w:sz w:val="22"/>
        </w:rPr>
        <w:t xml:space="preserve">Wildcard: </w:t>
      </w:r>
      <w:r>
        <w:rPr>
          <w:rFonts w:ascii="Calibri" w:hAnsi="Calibri"/>
          <w:color w:val="525866"/>
          <w:sz w:val="22"/>
        </w:rPr>
        <w:t>The single biggest swing factor is the Software &amp; Control segment margin. In Q2, this segment delivered a near-500 bps year-over-year expansion to 34.9% — management called it a "perfect storm" of volume, price-cost, and mix. If memory chip costs are worse than guided or Logix volumes moderate, S&amp;C margins could disappoint and drag the EPS beat. Conversely, if automotive or food &amp; beverage CapEx shows any early signs of unlocking (USMCA progress is the catalyst to watch), the stock could re-rate toward the high end of the guidance range.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 ~6.4% organic growth and $3.39 adjusted EPS are both within management's guided corridor. The bigger swing factor is segment operating margin: the street expects ~23.5%, which requires Software &amp; Control to hold up despite the guided memory-chip headwind.</w:t>
      </w:r>
    </w:p>
    <w:p>
      <w:pPr>
        <w:pStyle w:val="Heading3"/>
      </w:pPr>
      <w:r>
        <w:rPr>
          <w:rFonts w:ascii="Calibri" w:hAnsi="Calibri"/>
          <w:b/>
          <w:color w:val="3B4259"/>
          <w:sz w:val="24"/>
        </w:rPr>
        <w:t>Table 1 — Current Quarter Snapshot (FY2026 Q3,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(Q3 FY2025)</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(Q3 / FY2026)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$2,239M</w:t>
            </w:r>
          </w:p>
        </w:tc>
        <w:tc>
          <w:tcPr>
            <w:tcW w:type="dxa" w:w="1234"/>
          </w:tcPr>
          <w:p>
            <w:r>
              <w:rPr>
                <w:rFonts w:ascii="Calibri" w:hAnsi="Calibri"/>
                <w:sz w:val="22"/>
              </w:rPr>
              <w:t>$2,144M</w:t>
            </w:r>
          </w:p>
        </w:tc>
        <w:tc>
          <w:tcPr>
            <w:tcW w:type="dxa" w:w="1234"/>
          </w:tcPr>
          <w:p>
            <w:r>
              <w:rPr>
                <w:rFonts w:ascii="Calibri" w:hAnsi="Calibri"/>
                <w:sz w:val="22"/>
              </w:rPr>
              <w:t>$2,249M</w:t>
            </w:r>
          </w:p>
        </w:tc>
        <w:tc>
          <w:tcPr>
            <w:tcW w:type="dxa" w:w="1234"/>
          </w:tcPr>
          <w:p>
            <w:r>
              <w:rPr>
                <w:rFonts w:ascii="Calibri" w:hAnsi="Calibri"/>
                <w:sz w:val="22"/>
              </w:rPr>
              <w:t>+4.9% YoY</w:t>
            </w:r>
          </w:p>
        </w:tc>
        <w:tc>
          <w:tcPr>
            <w:tcW w:type="dxa" w:w="1234"/>
          </w:tcPr>
          <w:p>
            <w:r>
              <w:rPr>
                <w:rFonts w:ascii="Calibri" w:hAnsi="Calibri"/>
                <w:sz w:val="22"/>
              </w:rPr>
              <w:t>Roughly flat sequentially; FY guide ~$8.9B midpoint</w:t>
            </w:r>
          </w:p>
        </w:tc>
        <w:tc>
          <w:tcPr>
            <w:tcW w:type="dxa" w:w="1234"/>
          </w:tcPr>
          <w:p>
            <w:r>
              <w:rPr>
                <w:rFonts w:ascii="Calibri" w:hAnsi="Calibri"/>
                <w:sz w:val="22"/>
              </w:rPr>
              <w:t>~+0.2% vs. implied Q3 midpoint</w:t>
            </w:r>
          </w:p>
        </w:tc>
      </w:tr>
      <w:tr>
        <w:tc>
          <w:tcPr>
            <w:tcW w:type="dxa" w:w="1234"/>
          </w:tcPr>
          <w:p>
            <w:r>
              <w:rPr>
                <w:rFonts w:ascii="Calibri" w:hAnsi="Calibri"/>
                <w:sz w:val="22"/>
              </w:rPr>
              <w:t>Organic Sales Growth (%)</w:t>
            </w:r>
          </w:p>
        </w:tc>
        <w:tc>
          <w:tcPr>
            <w:tcW w:type="dxa" w:w="1234"/>
          </w:tcPr>
          <w:p>
            <w:r>
              <w:rPr>
                <w:rFonts w:ascii="Calibri" w:hAnsi="Calibri"/>
                <w:sz w:val="22"/>
              </w:rPr>
              <w:t>+8.6%</w:t>
            </w:r>
          </w:p>
        </w:tc>
        <w:tc>
          <w:tcPr>
            <w:tcW w:type="dxa" w:w="1234"/>
          </w:tcPr>
          <w:p>
            <w:r>
              <w:rPr>
                <w:rFonts w:ascii="Calibri" w:hAnsi="Calibri"/>
                <w:sz w:val="22"/>
              </w:rPr>
              <w:t>+4.3%</w:t>
            </w:r>
          </w:p>
        </w:tc>
        <w:tc>
          <w:tcPr>
            <w:tcW w:type="dxa" w:w="1234"/>
          </w:tcPr>
          <w:p>
            <w:r>
              <w:rPr>
                <w:rFonts w:ascii="Calibri" w:hAnsi="Calibri"/>
                <w:sz w:val="22"/>
              </w:rPr>
              <w:t>~+6.4%</w:t>
            </w:r>
          </w:p>
        </w:tc>
        <w:tc>
          <w:tcPr>
            <w:tcW w:type="dxa" w:w="1234"/>
          </w:tcPr>
          <w:p>
            <w:r>
              <w:rPr>
                <w:rFonts w:ascii="Calibri" w:hAnsi="Calibri"/>
                <w:sz w:val="22"/>
              </w:rPr>
              <w:t>+210 bps YoY</w:t>
            </w:r>
          </w:p>
        </w:tc>
        <w:tc>
          <w:tcPr>
            <w:tcW w:type="dxa" w:w="1234"/>
          </w:tcPr>
          <w:p>
            <w:r>
              <w:rPr>
                <w:rFonts w:ascii="Calibri" w:hAnsi="Calibri"/>
                <w:sz w:val="22"/>
              </w:rPr>
              <w:t>FY guide: 5–9% (7% midpoint)</w:t>
            </w:r>
          </w:p>
        </w:tc>
        <w:tc>
          <w:tcPr>
            <w:tcW w:type="dxa" w:w="1234"/>
          </w:tcPr>
          <w:p>
            <w:r>
              <w:rPr>
                <w:rFonts w:ascii="Calibri" w:hAnsi="Calibri"/>
                <w:sz w:val="22"/>
              </w:rPr>
              <w:t>Within guided range</w:t>
            </w:r>
          </w:p>
        </w:tc>
      </w:tr>
      <w:tr>
        <w:tc>
          <w:tcPr>
            <w:tcW w:type="dxa" w:w="1234"/>
          </w:tcPr>
          <w:p>
            <w:r>
              <w:rPr>
                <w:rFonts w:ascii="Calibri" w:hAnsi="Calibri"/>
                <w:sz w:val="22"/>
              </w:rPr>
              <w:t>Adjusted EPS (Operating, Diluted)</w:t>
            </w:r>
          </w:p>
        </w:tc>
        <w:tc>
          <w:tcPr>
            <w:tcW w:type="dxa" w:w="1234"/>
          </w:tcPr>
          <w:p>
            <w:r>
              <w:rPr>
                <w:rFonts w:ascii="Calibri" w:hAnsi="Calibri"/>
                <w:sz w:val="22"/>
              </w:rPr>
              <w:t>$3.30</w:t>
            </w:r>
          </w:p>
        </w:tc>
        <w:tc>
          <w:tcPr>
            <w:tcW w:type="dxa" w:w="1234"/>
          </w:tcPr>
          <w:p>
            <w:r>
              <w:rPr>
                <w:rFonts w:ascii="Calibri" w:hAnsi="Calibri"/>
                <w:sz w:val="22"/>
              </w:rPr>
              <w:t>$2.86</w:t>
            </w:r>
          </w:p>
        </w:tc>
        <w:tc>
          <w:tcPr>
            <w:tcW w:type="dxa" w:w="1234"/>
          </w:tcPr>
          <w:p>
            <w:r>
              <w:rPr>
                <w:rFonts w:ascii="Calibri" w:hAnsi="Calibri"/>
                <w:sz w:val="22"/>
              </w:rPr>
              <w:t>$3.39</w:t>
            </w:r>
          </w:p>
        </w:tc>
        <w:tc>
          <w:tcPr>
            <w:tcW w:type="dxa" w:w="1234"/>
          </w:tcPr>
          <w:p>
            <w:r>
              <w:rPr>
                <w:rFonts w:ascii="Calibri" w:hAnsi="Calibri"/>
                <w:sz w:val="22"/>
              </w:rPr>
              <w:t>+18.5% YoY</w:t>
            </w:r>
          </w:p>
        </w:tc>
        <w:tc>
          <w:tcPr>
            <w:tcW w:type="dxa" w:w="1234"/>
          </w:tcPr>
          <w:p>
            <w:r>
              <w:rPr>
                <w:rFonts w:ascii="Calibri" w:hAnsi="Calibri"/>
                <w:sz w:val="22"/>
              </w:rPr>
              <w:t>~$3.35 (up ~$0.05 seq.); FY guide: $12.50–$13.10</w:t>
            </w:r>
          </w:p>
        </w:tc>
        <w:tc>
          <w:tcPr>
            <w:tcW w:type="dxa" w:w="1234"/>
          </w:tcPr>
          <w:p>
            <w:r>
              <w:rPr>
                <w:rFonts w:ascii="Calibri" w:hAnsi="Calibri"/>
                <w:sz w:val="22"/>
              </w:rPr>
              <w:t>+$0.04 above Q3 implied midpoint</w:t>
            </w:r>
          </w:p>
        </w:tc>
      </w:tr>
      <w:tr>
        <w:tc>
          <w:tcPr>
            <w:tcW w:type="dxa" w:w="1234"/>
          </w:tcPr>
          <w:p>
            <w:r>
              <w:rPr>
                <w:rFonts w:ascii="Calibri" w:hAnsi="Calibri"/>
                <w:sz w:val="22"/>
              </w:rPr>
              <w:t>Segment Operating Margin (%)</w:t>
            </w:r>
          </w:p>
        </w:tc>
        <w:tc>
          <w:tcPr>
            <w:tcW w:type="dxa" w:w="1234"/>
          </w:tcPr>
          <w:p>
            <w:r>
              <w:rPr>
                <w:rFonts w:ascii="Calibri" w:hAnsi="Calibri"/>
                <w:sz w:val="22"/>
              </w:rPr>
              <w:t>23.7%</w:t>
            </w:r>
          </w:p>
        </w:tc>
        <w:tc>
          <w:tcPr>
            <w:tcW w:type="dxa" w:w="1234"/>
          </w:tcPr>
          <w:p>
            <w:r>
              <w:rPr>
                <w:rFonts w:ascii="Calibri" w:hAnsi="Calibri"/>
                <w:sz w:val="22"/>
              </w:rPr>
              <w:t>21.2%</w:t>
            </w:r>
          </w:p>
        </w:tc>
        <w:tc>
          <w:tcPr>
            <w:tcW w:type="dxa" w:w="1234"/>
          </w:tcPr>
          <w:p>
            <w:r>
              <w:rPr>
                <w:rFonts w:ascii="Calibri" w:hAnsi="Calibri"/>
                <w:sz w:val="22"/>
              </w:rPr>
              <w:t>~23.5%</w:t>
            </w:r>
          </w:p>
        </w:tc>
        <w:tc>
          <w:tcPr>
            <w:tcW w:type="dxa" w:w="1234"/>
          </w:tcPr>
          <w:p>
            <w:r>
              <w:rPr>
                <w:rFonts w:ascii="Calibri" w:hAnsi="Calibri"/>
                <w:sz w:val="22"/>
              </w:rPr>
              <w:t>+230 bps YoY</w:t>
            </w:r>
          </w:p>
        </w:tc>
        <w:tc>
          <w:tcPr>
            <w:tcW w:type="dxa" w:w="1234"/>
          </w:tcPr>
          <w:p>
            <w:r>
              <w:rPr>
                <w:rFonts w:ascii="Calibri" w:hAnsi="Calibri"/>
                <w:sz w:val="22"/>
              </w:rPr>
              <w:t>Flat sequentially guided; FY: ~22.9% implied</w:t>
            </w:r>
          </w:p>
        </w:tc>
        <w:tc>
          <w:tcPr>
            <w:tcW w:type="dxa" w:w="1234"/>
          </w:tcPr>
          <w:p>
            <w:r>
              <w:rPr>
                <w:rFonts w:ascii="Calibri" w:hAnsi="Calibri"/>
                <w:sz w:val="22"/>
              </w:rPr>
              <w:t>Roughly in line with flat-seq. guide</w:t>
            </w:r>
          </w:p>
        </w:tc>
      </w:tr>
      <w:tr>
        <w:tc>
          <w:tcPr>
            <w:tcW w:type="dxa" w:w="1234"/>
          </w:tcPr>
          <w:p>
            <w:r>
              <w:rPr>
                <w:rFonts w:ascii="Calibri" w:hAnsi="Calibri"/>
                <w:sz w:val="22"/>
              </w:rPr>
              <w:t>Net Sales — Software &amp; Control ($M)</w:t>
            </w:r>
          </w:p>
        </w:tc>
        <w:tc>
          <w:tcPr>
            <w:tcW w:type="dxa" w:w="1234"/>
          </w:tcPr>
          <w:p>
            <w:r>
              <w:rPr>
                <w:rFonts w:ascii="Calibri" w:hAnsi="Calibri"/>
                <w:sz w:val="22"/>
              </w:rPr>
              <w:t>$684M</w:t>
            </w:r>
          </w:p>
        </w:tc>
        <w:tc>
          <w:tcPr>
            <w:tcW w:type="dxa" w:w="1234"/>
          </w:tcPr>
          <w:p>
            <w:r>
              <w:rPr>
                <w:rFonts w:ascii="Calibri" w:hAnsi="Calibri"/>
                <w:sz w:val="22"/>
              </w:rPr>
              <w:t>$629M</w:t>
            </w:r>
          </w:p>
        </w:tc>
        <w:tc>
          <w:tcPr>
            <w:tcW w:type="dxa" w:w="1234"/>
          </w:tcPr>
          <w:p>
            <w:r>
              <w:rPr>
                <w:rFonts w:ascii="Calibri" w:hAnsi="Calibri"/>
                <w:sz w:val="22"/>
              </w:rPr>
              <w:t>$685M</w:t>
            </w:r>
          </w:p>
        </w:tc>
        <w:tc>
          <w:tcPr>
            <w:tcW w:type="dxa" w:w="1234"/>
          </w:tcPr>
          <w:p>
            <w:r>
              <w:rPr>
                <w:rFonts w:ascii="Calibri" w:hAnsi="Calibri"/>
                <w:sz w:val="22"/>
              </w:rPr>
              <w:t>+8.9% YoY</w:t>
            </w:r>
          </w:p>
        </w:tc>
        <w:tc>
          <w:tcPr>
            <w:tcW w:type="dxa" w:w="1234"/>
          </w:tcPr>
          <w:p>
            <w:r>
              <w:rPr>
                <w:rFonts w:ascii="Calibri" w:hAnsi="Calibri"/>
                <w:sz w:val="22"/>
              </w:rPr>
              <w:t>FY: low double-digit growth; S&amp;C margin: low 30s</w:t>
            </w:r>
          </w:p>
        </w:tc>
        <w:tc>
          <w:tcPr>
            <w:tcW w:type="dxa" w:w="1234"/>
          </w:tcPr>
          <w:p>
            <w:r>
              <w:rPr>
                <w:rFonts w:ascii="Calibri" w:hAnsi="Calibri"/>
                <w:sz w:val="22"/>
              </w:rPr>
              <w:t>Roughly in line with FY trajectory</w:t>
            </w:r>
          </w:p>
        </w:tc>
      </w:tr>
      <w:tr>
        <w:tc>
          <w:tcPr>
            <w:tcW w:type="dxa" w:w="1234"/>
          </w:tcPr>
          <w:p>
            <w:r>
              <w:rPr>
                <w:rFonts w:ascii="Calibri" w:hAnsi="Calibri"/>
                <w:sz w:val="22"/>
              </w:rPr>
              <w:t>Net Sales — Intelligent Devices ($M)</w:t>
            </w:r>
          </w:p>
        </w:tc>
        <w:tc>
          <w:tcPr>
            <w:tcW w:type="dxa" w:w="1234"/>
          </w:tcPr>
          <w:p>
            <w:r>
              <w:rPr>
                <w:rFonts w:ascii="Calibri" w:hAnsi="Calibri"/>
                <w:sz w:val="22"/>
              </w:rPr>
              <w:t>$1,008M</w:t>
            </w:r>
          </w:p>
        </w:tc>
        <w:tc>
          <w:tcPr>
            <w:tcW w:type="dxa" w:w="1234"/>
          </w:tcPr>
          <w:p>
            <w:r>
              <w:rPr>
                <w:rFonts w:ascii="Calibri" w:hAnsi="Calibri"/>
                <w:sz w:val="22"/>
              </w:rPr>
              <w:t>$968M</w:t>
            </w:r>
          </w:p>
        </w:tc>
        <w:tc>
          <w:tcPr>
            <w:tcW w:type="dxa" w:w="1234"/>
          </w:tcPr>
          <w:p>
            <w:r>
              <w:rPr>
                <w:rFonts w:ascii="Calibri" w:hAnsi="Calibri"/>
                <w:sz w:val="22"/>
              </w:rPr>
              <w:t>$1,053M</w:t>
            </w:r>
          </w:p>
        </w:tc>
        <w:tc>
          <w:tcPr>
            <w:tcW w:type="dxa" w:w="1234"/>
          </w:tcPr>
          <w:p>
            <w:r>
              <w:rPr>
                <w:rFonts w:ascii="Calibri" w:hAnsi="Calibri"/>
                <w:sz w:val="22"/>
              </w:rPr>
              <w:t>+8.8% YoY</w:t>
            </w:r>
          </w:p>
        </w:tc>
        <w:tc>
          <w:tcPr>
            <w:tcW w:type="dxa" w:w="1234"/>
          </w:tcPr>
          <w:p>
            <w:r>
              <w:rPr>
                <w:rFonts w:ascii="Calibri" w:hAnsi="Calibri"/>
                <w:sz w:val="22"/>
              </w:rPr>
              <w:t>FY: high single-digit growth; margin ~20%</w:t>
            </w:r>
          </w:p>
        </w:tc>
        <w:tc>
          <w:tcPr>
            <w:tcW w:type="dxa" w:w="1234"/>
          </w:tcPr>
          <w:p>
            <w:r>
              <w:rPr>
                <w:rFonts w:ascii="Calibri" w:hAnsi="Calibri"/>
                <w:sz w:val="22"/>
              </w:rPr>
              <w:t>Consistent with FY guide</w:t>
            </w:r>
          </w:p>
        </w:tc>
      </w:tr>
      <w:tr>
        <w:tc>
          <w:tcPr>
            <w:tcW w:type="dxa" w:w="1234"/>
          </w:tcPr>
          <w:p>
            <w:r>
              <w:rPr>
                <w:rFonts w:ascii="Calibri" w:hAnsi="Calibri"/>
                <w:sz w:val="22"/>
              </w:rPr>
              <w:t>Annual Recurring Revenue (ARR) Growth (%)</w:t>
            </w:r>
          </w:p>
        </w:tc>
        <w:tc>
          <w:tcPr>
            <w:tcW w:type="dxa" w:w="1234"/>
          </w:tcPr>
          <w:p>
            <w:r>
              <w:rPr>
                <w:rFonts w:ascii="Calibri" w:hAnsi="Calibri"/>
                <w:sz w:val="22"/>
              </w:rPr>
              <w:t>+6.0% YoY</w:t>
            </w:r>
          </w:p>
        </w:tc>
        <w:tc>
          <w:tcPr>
            <w:tcW w:type="dxa" w:w="1234"/>
          </w:tcPr>
          <w:p>
            <w:r>
              <w:rPr>
                <w:rFonts w:ascii="Calibri" w:hAnsi="Calibri"/>
                <w:sz w:val="22"/>
              </w:rPr>
              <w:t>N/A — not tracked in VA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FY: high single-digit growth</w:t>
            </w:r>
          </w:p>
        </w:tc>
        <w:tc>
          <w:tcPr>
            <w:tcW w:type="dxa" w:w="1234"/>
          </w:tcPr>
          <w:p>
            <w:r>
              <w:rPr>
                <w:rFonts w:ascii="Calibri" w:hAnsi="Calibri"/>
                <w:sz w:val="22"/>
              </w:rPr>
              <w:t>N/A</w:t>
            </w:r>
          </w:p>
        </w:tc>
      </w:tr>
    </w:tbl>
    <w:p>
      <w:r>
        <w:rPr>
          <w:rFonts w:ascii="Calibri" w:hAnsi="Calibri"/>
          <w:color w:val="525866"/>
          <w:sz w:val="22"/>
        </w:rPr>
        <w:t>Sources: Net Sales, Organic Growth, Adjusted EPS, Segment Operating Margin, Software &amp; Control Sales, and Intelligent Devices Sales from Visible Alpha Consensus and Actuals Data. ARR growth from ROK Q2 FY2026 Earnings Release (May 5, 2026). Q3 guidance from ROK Q2 FY2026 Earnings Call transcript (May 5, 2026).</w:t>
      </w:r>
    </w:p>
    <w:p>
      <w:pPr>
        <w:pStyle w:val="Heading3"/>
      </w:pPr>
      <w:r>
        <w:rPr>
          <w:rFonts w:ascii="Calibri" w:hAnsi="Calibri"/>
          <w:b/>
          <w:color w:val="3B4259"/>
          <w:sz w:val="24"/>
        </w:rPr>
        <w:t>Table 2 — Beat/Miss History: Last 8 Quarters (Top 2 KPIs: Adjusted EPS &amp; Organic Sales Growth)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FY2026</w:t>
            </w:r>
          </w:p>
        </w:tc>
        <w:tc>
          <w:tcPr>
            <w:tcW w:type="dxa" w:w="1440"/>
          </w:tcPr>
          <w:p>
            <w:r>
              <w:rPr>
                <w:rFonts w:ascii="Calibri" w:hAnsi="Calibri"/>
                <w:sz w:val="22"/>
              </w:rPr>
              <w:t>Adj. EPS</w:t>
            </w:r>
          </w:p>
        </w:tc>
        <w:tc>
          <w:tcPr>
            <w:tcW w:type="dxa" w:w="1440"/>
          </w:tcPr>
          <w:p>
            <w:r>
              <w:rPr>
                <w:rFonts w:ascii="Calibri" w:hAnsi="Calibri"/>
                <w:sz w:val="22"/>
              </w:rPr>
              <w:t>$3.30</w:t>
            </w:r>
          </w:p>
        </w:tc>
        <w:tc>
          <w:tcPr>
            <w:tcW w:type="dxa" w:w="1440"/>
          </w:tcPr>
          <w:p>
            <w:r>
              <w:rPr>
                <w:rFonts w:ascii="Calibri" w:hAnsi="Calibri"/>
                <w:sz w:val="22"/>
              </w:rPr>
              <w:t>$2.89</w:t>
            </w:r>
          </w:p>
        </w:tc>
        <w:tc>
          <w:tcPr>
            <w:tcW w:type="dxa" w:w="1440"/>
          </w:tcPr>
          <w:p>
            <w:r>
              <w:rPr>
                <w:rFonts w:ascii="Calibri" w:hAnsi="Calibri"/>
                <w:b/>
                <w:color w:val="30A46C"/>
                <w:sz w:val="22"/>
              </w:rPr>
              <w:t>+14.2%</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Organic Growth</w:t>
            </w:r>
          </w:p>
        </w:tc>
        <w:tc>
          <w:tcPr>
            <w:tcW w:type="dxa" w:w="1440"/>
          </w:tcPr>
          <w:p>
            <w:r>
              <w:rPr>
                <w:rFonts w:ascii="Calibri" w:hAnsi="Calibri"/>
                <w:sz w:val="22"/>
              </w:rPr>
              <w:t>+8.6%</w:t>
            </w:r>
          </w:p>
        </w:tc>
        <w:tc>
          <w:tcPr>
            <w:tcW w:type="dxa" w:w="1440"/>
          </w:tcPr>
          <w:p>
            <w:r>
              <w:rPr>
                <w:rFonts w:ascii="Calibri" w:hAnsi="Calibri"/>
                <w:sz w:val="22"/>
              </w:rPr>
              <w:t>+5.9%</w:t>
            </w:r>
          </w:p>
        </w:tc>
        <w:tc>
          <w:tcPr>
            <w:tcW w:type="dxa" w:w="1440"/>
          </w:tcPr>
          <w:p>
            <w:r>
              <w:rPr>
                <w:rFonts w:ascii="Calibri" w:hAnsi="Calibri"/>
                <w:b/>
                <w:color w:val="30A46C"/>
                <w:sz w:val="22"/>
              </w:rPr>
              <w:t>+270 bps</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Adj. EPS</w:t>
            </w:r>
          </w:p>
        </w:tc>
        <w:tc>
          <w:tcPr>
            <w:tcW w:type="dxa" w:w="1440"/>
          </w:tcPr>
          <w:p>
            <w:r>
              <w:rPr>
                <w:rFonts w:ascii="Calibri" w:hAnsi="Calibri"/>
                <w:sz w:val="22"/>
              </w:rPr>
              <w:t>$2.75</w:t>
            </w:r>
          </w:p>
        </w:tc>
        <w:tc>
          <w:tcPr>
            <w:tcW w:type="dxa" w:w="1440"/>
          </w:tcPr>
          <w:p>
            <w:r>
              <w:rPr>
                <w:rFonts w:ascii="Calibri" w:hAnsi="Calibri"/>
                <w:sz w:val="22"/>
              </w:rPr>
              <w:t>$2.50</w:t>
            </w:r>
          </w:p>
        </w:tc>
        <w:tc>
          <w:tcPr>
            <w:tcW w:type="dxa" w:w="1440"/>
          </w:tcPr>
          <w:p>
            <w:r>
              <w:rPr>
                <w:rFonts w:ascii="Calibri" w:hAnsi="Calibri"/>
                <w:b/>
                <w:color w:val="30A46C"/>
                <w:sz w:val="22"/>
              </w:rPr>
              <w:t>+10.0%</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Organic Growth</w:t>
            </w:r>
          </w:p>
        </w:tc>
        <w:tc>
          <w:tcPr>
            <w:tcW w:type="dxa" w:w="1440"/>
          </w:tcPr>
          <w:p>
            <w:r>
              <w:rPr>
                <w:rFonts w:ascii="Calibri" w:hAnsi="Calibri"/>
                <w:sz w:val="22"/>
              </w:rPr>
              <w:t>+10.0%</w:t>
            </w:r>
          </w:p>
        </w:tc>
        <w:tc>
          <w:tcPr>
            <w:tcW w:type="dxa" w:w="1440"/>
          </w:tcPr>
          <w:p>
            <w:r>
              <w:rPr>
                <w:rFonts w:ascii="Calibri" w:hAnsi="Calibri"/>
                <w:sz w:val="22"/>
              </w:rPr>
              <w:t>+8.7%</w:t>
            </w:r>
          </w:p>
        </w:tc>
        <w:tc>
          <w:tcPr>
            <w:tcW w:type="dxa" w:w="1440"/>
          </w:tcPr>
          <w:p>
            <w:r>
              <w:rPr>
                <w:rFonts w:ascii="Calibri" w:hAnsi="Calibri"/>
                <w:b/>
                <w:color w:val="30A46C"/>
                <w:sz w:val="22"/>
              </w:rPr>
              <w:t>+130 bps</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Adj. EPS</w:t>
            </w:r>
          </w:p>
        </w:tc>
        <w:tc>
          <w:tcPr>
            <w:tcW w:type="dxa" w:w="1440"/>
          </w:tcPr>
          <w:p>
            <w:r>
              <w:rPr>
                <w:rFonts w:ascii="Calibri" w:hAnsi="Calibri"/>
                <w:sz w:val="22"/>
              </w:rPr>
              <w:t>$3.34</w:t>
            </w:r>
          </w:p>
        </w:tc>
        <w:tc>
          <w:tcPr>
            <w:tcW w:type="dxa" w:w="1440"/>
          </w:tcPr>
          <w:p>
            <w:r>
              <w:rPr>
                <w:rFonts w:ascii="Calibri" w:hAnsi="Calibri"/>
                <w:sz w:val="22"/>
              </w:rPr>
              <w:t>$2.93</w:t>
            </w:r>
          </w:p>
        </w:tc>
        <w:tc>
          <w:tcPr>
            <w:tcW w:type="dxa" w:w="1440"/>
          </w:tcPr>
          <w:p>
            <w:r>
              <w:rPr>
                <w:rFonts w:ascii="Calibri" w:hAnsi="Calibri"/>
                <w:b/>
                <w:color w:val="30A46C"/>
                <w:sz w:val="22"/>
              </w:rPr>
              <w:t>+14.0%</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Organic Growth</w:t>
            </w:r>
          </w:p>
        </w:tc>
        <w:tc>
          <w:tcPr>
            <w:tcW w:type="dxa" w:w="1440"/>
          </w:tcPr>
          <w:p>
            <w:r>
              <w:rPr>
                <w:rFonts w:ascii="Calibri" w:hAnsi="Calibri"/>
                <w:sz w:val="22"/>
              </w:rPr>
              <w:t>+12.7%</w:t>
            </w:r>
          </w:p>
        </w:tc>
        <w:tc>
          <w:tcPr>
            <w:tcW w:type="dxa" w:w="1440"/>
          </w:tcPr>
          <w:p>
            <w:r>
              <w:rPr>
                <w:rFonts w:ascii="Calibri" w:hAnsi="Calibri"/>
                <w:sz w:val="22"/>
              </w:rPr>
              <w:t>+6.9%</w:t>
            </w:r>
          </w:p>
        </w:tc>
        <w:tc>
          <w:tcPr>
            <w:tcW w:type="dxa" w:w="1440"/>
          </w:tcPr>
          <w:p>
            <w:r>
              <w:rPr>
                <w:rFonts w:ascii="Calibri" w:hAnsi="Calibri"/>
                <w:b/>
                <w:color w:val="30A46C"/>
                <w:sz w:val="22"/>
              </w:rPr>
              <w:t>+580 bps</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Adj. EPS</w:t>
            </w:r>
          </w:p>
        </w:tc>
        <w:tc>
          <w:tcPr>
            <w:tcW w:type="dxa" w:w="1440"/>
          </w:tcPr>
          <w:p>
            <w:r>
              <w:rPr>
                <w:rFonts w:ascii="Calibri" w:hAnsi="Calibri"/>
                <w:sz w:val="22"/>
              </w:rPr>
              <w:t>$2.86</w:t>
            </w:r>
          </w:p>
        </w:tc>
        <w:tc>
          <w:tcPr>
            <w:tcW w:type="dxa" w:w="1440"/>
          </w:tcPr>
          <w:p>
            <w:r>
              <w:rPr>
                <w:rFonts w:ascii="Calibri" w:hAnsi="Calibri"/>
                <w:sz w:val="22"/>
              </w:rPr>
              <w:t>$2.70</w:t>
            </w:r>
          </w:p>
        </w:tc>
        <w:tc>
          <w:tcPr>
            <w:tcW w:type="dxa" w:w="1440"/>
          </w:tcPr>
          <w:p>
            <w:r>
              <w:rPr>
                <w:rFonts w:ascii="Calibri" w:hAnsi="Calibri"/>
                <w:b/>
                <w:color w:val="30A46C"/>
                <w:sz w:val="22"/>
              </w:rPr>
              <w:t>+5.9%</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Organic Growth</w:t>
            </w:r>
          </w:p>
        </w:tc>
        <w:tc>
          <w:tcPr>
            <w:tcW w:type="dxa" w:w="1440"/>
          </w:tcPr>
          <w:p>
            <w:r>
              <w:rPr>
                <w:rFonts w:ascii="Calibri" w:hAnsi="Calibri"/>
                <w:sz w:val="22"/>
              </w:rPr>
              <w:t>+4.3%</w:t>
            </w:r>
          </w:p>
        </w:tc>
        <w:tc>
          <w:tcPr>
            <w:tcW w:type="dxa" w:w="1440"/>
          </w:tcPr>
          <w:p>
            <w:r>
              <w:rPr>
                <w:rFonts w:ascii="Calibri" w:hAnsi="Calibri"/>
                <w:sz w:val="22"/>
              </w:rPr>
              <w:t>+0.4%</w:t>
            </w:r>
          </w:p>
        </w:tc>
        <w:tc>
          <w:tcPr>
            <w:tcW w:type="dxa" w:w="1440"/>
          </w:tcPr>
          <w:p>
            <w:r>
              <w:rPr>
                <w:rFonts w:ascii="Calibri" w:hAnsi="Calibri"/>
                <w:b/>
                <w:color w:val="30A46C"/>
                <w:sz w:val="22"/>
              </w:rPr>
              <w:t>+390 bps</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Adj. EPS</w:t>
            </w:r>
          </w:p>
        </w:tc>
        <w:tc>
          <w:tcPr>
            <w:tcW w:type="dxa" w:w="1440"/>
          </w:tcPr>
          <w:p>
            <w:r>
              <w:rPr>
                <w:rFonts w:ascii="Calibri" w:hAnsi="Calibri"/>
                <w:sz w:val="22"/>
              </w:rPr>
              <w:t>$2.50</w:t>
            </w:r>
          </w:p>
        </w:tc>
        <w:tc>
          <w:tcPr>
            <w:tcW w:type="dxa" w:w="1440"/>
          </w:tcPr>
          <w:p>
            <w:r>
              <w:rPr>
                <w:rFonts w:ascii="Calibri" w:hAnsi="Calibri"/>
                <w:sz w:val="22"/>
              </w:rPr>
              <w:t>$2.11</w:t>
            </w:r>
          </w:p>
        </w:tc>
        <w:tc>
          <w:tcPr>
            <w:tcW w:type="dxa" w:w="1440"/>
          </w:tcPr>
          <w:p>
            <w:r>
              <w:rPr>
                <w:rFonts w:ascii="Calibri" w:hAnsi="Calibri"/>
                <w:b/>
                <w:color w:val="30A46C"/>
                <w:sz w:val="22"/>
              </w:rPr>
              <w:t>+18.5%</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Organic Growth</w:t>
            </w:r>
          </w:p>
        </w:tc>
        <w:tc>
          <w:tcPr>
            <w:tcW w:type="dxa" w:w="1440"/>
          </w:tcPr>
          <w:p>
            <w:r>
              <w:rPr>
                <w:rFonts w:ascii="Calibri" w:hAnsi="Calibri"/>
                <w:sz w:val="22"/>
              </w:rPr>
              <w:t>-4.0%</w:t>
            </w:r>
          </w:p>
        </w:tc>
        <w:tc>
          <w:tcPr>
            <w:tcW w:type="dxa" w:w="1440"/>
          </w:tcPr>
          <w:p>
            <w:r>
              <w:rPr>
                <w:rFonts w:ascii="Calibri" w:hAnsi="Calibri"/>
                <w:sz w:val="22"/>
              </w:rPr>
              <w:t>-5.4%</w:t>
            </w:r>
          </w:p>
        </w:tc>
        <w:tc>
          <w:tcPr>
            <w:tcW w:type="dxa" w:w="1440"/>
          </w:tcPr>
          <w:p>
            <w:r>
              <w:rPr>
                <w:rFonts w:ascii="Calibri" w:hAnsi="Calibri"/>
                <w:b/>
                <w:color w:val="30A46C"/>
                <w:sz w:val="22"/>
              </w:rPr>
              <w:t>+140 bps</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Adj. EPS</w:t>
            </w:r>
          </w:p>
        </w:tc>
        <w:tc>
          <w:tcPr>
            <w:tcW w:type="dxa" w:w="1440"/>
          </w:tcPr>
          <w:p>
            <w:r>
              <w:rPr>
                <w:rFonts w:ascii="Calibri" w:hAnsi="Calibri"/>
                <w:sz w:val="22"/>
              </w:rPr>
              <w:t>$1.86</w:t>
            </w:r>
          </w:p>
        </w:tc>
        <w:tc>
          <w:tcPr>
            <w:tcW w:type="dxa" w:w="1440"/>
          </w:tcPr>
          <w:p>
            <w:r>
              <w:rPr>
                <w:rFonts w:ascii="Calibri" w:hAnsi="Calibri"/>
                <w:sz w:val="22"/>
              </w:rPr>
              <w:t>$1.57</w:t>
            </w:r>
          </w:p>
        </w:tc>
        <w:tc>
          <w:tcPr>
            <w:tcW w:type="dxa" w:w="1440"/>
          </w:tcPr>
          <w:p>
            <w:r>
              <w:rPr>
                <w:rFonts w:ascii="Calibri" w:hAnsi="Calibri"/>
                <w:b/>
                <w:color w:val="30A46C"/>
                <w:sz w:val="22"/>
              </w:rPr>
              <w:t>+18.5%</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Organic Growth</w:t>
            </w:r>
          </w:p>
        </w:tc>
        <w:tc>
          <w:tcPr>
            <w:tcW w:type="dxa" w:w="1440"/>
          </w:tcPr>
          <w:p>
            <w:r>
              <w:rPr>
                <w:rFonts w:ascii="Calibri" w:hAnsi="Calibri"/>
                <w:sz w:val="22"/>
              </w:rPr>
              <w:t>-7.6%</w:t>
            </w:r>
          </w:p>
        </w:tc>
        <w:tc>
          <w:tcPr>
            <w:tcW w:type="dxa" w:w="1440"/>
          </w:tcPr>
          <w:p>
            <w:r>
              <w:rPr>
                <w:rFonts w:ascii="Calibri" w:hAnsi="Calibri"/>
                <w:sz w:val="22"/>
              </w:rPr>
              <w:t>-7.3%</w:t>
            </w:r>
          </w:p>
        </w:tc>
        <w:tc>
          <w:tcPr>
            <w:tcW w:type="dxa" w:w="1440"/>
          </w:tcPr>
          <w:p>
            <w:r>
              <w:rPr>
                <w:rFonts w:ascii="Calibri" w:hAnsi="Calibri"/>
                <w:b/>
                <w:color w:val="E5484D"/>
                <w:sz w:val="22"/>
              </w:rPr>
              <w:t>-30 bps</w:t>
            </w:r>
          </w:p>
        </w:tc>
        <w:tc>
          <w:tcPr>
            <w:tcW w:type="dxa" w:w="1440"/>
          </w:tcPr>
          <w:p>
            <w:r>
              <w:rPr>
                <w:rFonts w:ascii="Calibri" w:hAnsi="Calibri"/>
                <w:sz w:val="22"/>
              </w:rPr>
              <w:t>Slight Miss</w:t>
            </w:r>
          </w:p>
        </w:tc>
      </w:tr>
      <w:tr>
        <w:tc>
          <w:tcPr>
            <w:tcW w:type="dxa" w:w="1440"/>
          </w:tcPr>
          <w:p>
            <w:r>
              <w:rPr>
                <w:rFonts w:ascii="Calibri" w:hAnsi="Calibri"/>
                <w:sz w:val="22"/>
              </w:rPr>
              <w:t>Q4 FY2024</w:t>
            </w:r>
          </w:p>
        </w:tc>
        <w:tc>
          <w:tcPr>
            <w:tcW w:type="dxa" w:w="1440"/>
          </w:tcPr>
          <w:p>
            <w:r>
              <w:rPr>
                <w:rFonts w:ascii="Calibri" w:hAnsi="Calibri"/>
                <w:sz w:val="22"/>
              </w:rPr>
              <w:t>Adj. EPS</w:t>
            </w:r>
          </w:p>
        </w:tc>
        <w:tc>
          <w:tcPr>
            <w:tcW w:type="dxa" w:w="1440"/>
          </w:tcPr>
          <w:p>
            <w:r>
              <w:rPr>
                <w:rFonts w:ascii="Calibri" w:hAnsi="Calibri"/>
                <w:sz w:val="22"/>
              </w:rPr>
              <w:t>$2.53</w:t>
            </w:r>
          </w:p>
        </w:tc>
        <w:tc>
          <w:tcPr>
            <w:tcW w:type="dxa" w:w="1440"/>
          </w:tcPr>
          <w:p>
            <w:r>
              <w:rPr>
                <w:rFonts w:ascii="Calibri" w:hAnsi="Calibri"/>
                <w:sz w:val="22"/>
              </w:rPr>
              <w:t>$2.38</w:t>
            </w:r>
          </w:p>
        </w:tc>
        <w:tc>
          <w:tcPr>
            <w:tcW w:type="dxa" w:w="1440"/>
          </w:tcPr>
          <w:p>
            <w:r>
              <w:rPr>
                <w:rFonts w:ascii="Calibri" w:hAnsi="Calibri"/>
                <w:b/>
                <w:color w:val="30A46C"/>
                <w:sz w:val="22"/>
              </w:rPr>
              <w:t>+6.3%</w:t>
            </w:r>
          </w:p>
        </w:tc>
        <w:tc>
          <w:tcPr>
            <w:tcW w:type="dxa" w:w="1440"/>
          </w:tcPr>
          <w:p>
            <w:r>
              <w:rPr>
                <w:rFonts w:ascii="Calibri" w:hAnsi="Calibri"/>
                <w:sz w:val="22"/>
              </w:rPr>
              <w:t>Beat</w:t>
            </w:r>
          </w:p>
        </w:tc>
      </w:tr>
      <w:tr>
        <w:tc>
          <w:tcPr>
            <w:tcW w:type="dxa" w:w="1440"/>
          </w:tcPr>
          <w:p>
            <w:r>
              <w:rPr>
                <w:rFonts w:ascii="Calibri" w:hAnsi="Calibri"/>
                <w:sz w:val="22"/>
              </w:rPr>
              <w:t>Q4 FY2024</w:t>
            </w:r>
          </w:p>
        </w:tc>
        <w:tc>
          <w:tcPr>
            <w:tcW w:type="dxa" w:w="1440"/>
          </w:tcPr>
          <w:p>
            <w:r>
              <w:rPr>
                <w:rFonts w:ascii="Calibri" w:hAnsi="Calibri"/>
                <w:sz w:val="22"/>
              </w:rPr>
              <w:t>Organic Growth</w:t>
            </w:r>
          </w:p>
        </w:tc>
        <w:tc>
          <w:tcPr>
            <w:tcW w:type="dxa" w:w="1440"/>
          </w:tcPr>
          <w:p>
            <w:r>
              <w:rPr>
                <w:rFonts w:ascii="Calibri" w:hAnsi="Calibri"/>
                <w:sz w:val="22"/>
              </w:rPr>
              <w:t>-21.1%</w:t>
            </w:r>
          </w:p>
        </w:tc>
        <w:tc>
          <w:tcPr>
            <w:tcW w:type="dxa" w:w="1440"/>
          </w:tcPr>
          <w:p>
            <w:r>
              <w:rPr>
                <w:rFonts w:ascii="Calibri" w:hAnsi="Calibri"/>
                <w:sz w:val="22"/>
              </w:rPr>
              <w:t>-19.7%</w:t>
            </w:r>
          </w:p>
        </w:tc>
        <w:tc>
          <w:tcPr>
            <w:tcW w:type="dxa" w:w="1440"/>
          </w:tcPr>
          <w:p>
            <w:r>
              <w:rPr>
                <w:rFonts w:ascii="Calibri" w:hAnsi="Calibri"/>
                <w:b/>
                <w:color w:val="E5484D"/>
                <w:sz w:val="22"/>
              </w:rPr>
              <w:t>-140 bps</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ROK has beaten adjusted EPS consensus in 7 of the last 8 quarters, with an average positive surprise of ~+12% over the past four quarters. Organic growth beats have been consistent since the destocking cycle ended in Q4 FY2024. The only misses occurred during the trough of the inventory correction cycle. The current setup — with estimates barely revised post-Q2 — is consistent with prior beat setups.</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materially raised at the Q2 print (May 5) and has been reaffirmed at multiple investor conferences since. No formal post-earnings revision has occurred, but management's tone at the Wells Fargo (June 11) and Baird (June 2) conferences was incrementally constructive on demand breadth, with the only explicit caution being the Software &amp; Control margin step-down in Q3 due to memory chip costs.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Organic Sales Growth</w:t>
            </w:r>
          </w:p>
        </w:tc>
        <w:tc>
          <w:tcPr>
            <w:tcW w:type="dxa" w:w="1728"/>
          </w:tcPr>
          <w:p>
            <w:r>
              <w:rPr>
                <w:rFonts w:ascii="Calibri" w:hAnsi="Calibri"/>
                <w:sz w:val="22"/>
              </w:rPr>
              <w:t>5%–9% (7% midpoint)</w:t>
            </w:r>
          </w:p>
        </w:tc>
        <w:tc>
          <w:tcPr>
            <w:tcW w:type="dxa" w:w="1728"/>
          </w:tcPr>
          <w:p>
            <w:r>
              <w:rPr>
                <w:rFonts w:ascii="Calibri" w:hAnsi="Calibri"/>
                <w:sz w:val="22"/>
              </w:rPr>
              <w:t>—</w:t>
            </w:r>
          </w:p>
        </w:tc>
        <w:tc>
          <w:tcPr>
            <w:tcW w:type="dxa" w:w="1728"/>
          </w:tcPr>
          <w:p>
            <w:r>
              <w:rPr>
                <w:rFonts w:ascii="Calibri" w:hAnsi="Calibri"/>
                <w:sz w:val="22"/>
              </w:rPr>
              <w:t>~7.4%</w:t>
            </w:r>
          </w:p>
        </w:tc>
        <w:tc>
          <w:tcPr>
            <w:tcW w:type="dxa" w:w="1728"/>
          </w:tcPr>
          <w:p>
            <w:r>
              <w:rPr>
                <w:rFonts w:ascii="Calibri" w:hAnsi="Calibri"/>
                <w:sz w:val="22"/>
              </w:rPr>
              <w:t>Reaffirmed at Wells Fargo (Jun 11) and Baird (Jun 2) conferences; tone constructive on data center, semi, e-commerce; automotive/F&amp;B still muted</w:t>
            </w:r>
          </w:p>
        </w:tc>
      </w:tr>
      <w:tr>
        <w:tc>
          <w:tcPr>
            <w:tcW w:type="dxa" w:w="1728"/>
          </w:tcPr>
          <w:p>
            <w:r>
              <w:rPr>
                <w:rFonts w:ascii="Calibri" w:hAnsi="Calibri"/>
                <w:sz w:val="22"/>
              </w:rPr>
              <w:t>FY2026 Adjusted EPS</w:t>
            </w:r>
          </w:p>
        </w:tc>
        <w:tc>
          <w:tcPr>
            <w:tcW w:type="dxa" w:w="1728"/>
          </w:tcPr>
          <w:p>
            <w:r>
              <w:rPr>
                <w:rFonts w:ascii="Calibri" w:hAnsi="Calibri"/>
                <w:sz w:val="22"/>
              </w:rPr>
              <w:t>$12.50–$13.10 ($12.80 midpoint)</w:t>
            </w:r>
          </w:p>
        </w:tc>
        <w:tc>
          <w:tcPr>
            <w:tcW w:type="dxa" w:w="1728"/>
          </w:tcPr>
          <w:p>
            <w:r>
              <w:rPr>
                <w:rFonts w:ascii="Calibri" w:hAnsi="Calibri"/>
                <w:sz w:val="22"/>
              </w:rPr>
              <w:t>—</w:t>
            </w:r>
          </w:p>
        </w:tc>
        <w:tc>
          <w:tcPr>
            <w:tcW w:type="dxa" w:w="1728"/>
          </w:tcPr>
          <w:p>
            <w:r>
              <w:rPr>
                <w:rFonts w:ascii="Calibri" w:hAnsi="Calibri"/>
                <w:sz w:val="22"/>
              </w:rPr>
              <w:t>$13.04</w:t>
            </w:r>
          </w:p>
        </w:tc>
        <w:tc>
          <w:tcPr>
            <w:tcW w:type="dxa" w:w="1728"/>
          </w:tcPr>
          <w:p>
            <w:r>
              <w:rPr>
                <w:rFonts w:ascii="Calibri" w:hAnsi="Calibri"/>
                <w:sz w:val="22"/>
              </w:rPr>
              <w:t>Consensus sits $0.24 above midpoint; no formal revision since May 5; management reaffirmed confidence at conferences</w:t>
            </w:r>
          </w:p>
        </w:tc>
      </w:tr>
      <w:tr>
        <w:tc>
          <w:tcPr>
            <w:tcW w:type="dxa" w:w="1728"/>
          </w:tcPr>
          <w:p>
            <w:r>
              <w:rPr>
                <w:rFonts w:ascii="Calibri" w:hAnsi="Calibri"/>
                <w:sz w:val="22"/>
              </w:rPr>
              <w:t>FY2026 Enterprise Operating Margin</w:t>
            </w:r>
          </w:p>
        </w:tc>
        <w:tc>
          <w:tcPr>
            <w:tcW w:type="dxa" w:w="1728"/>
          </w:tcPr>
          <w:p>
            <w:r>
              <w:rPr>
                <w:rFonts w:ascii="Calibri" w:hAnsi="Calibri"/>
                <w:sz w:val="22"/>
              </w:rPr>
              <w:t>~21.5%</w:t>
            </w:r>
          </w:p>
        </w:tc>
        <w:tc>
          <w:tcPr>
            <w:tcW w:type="dxa" w:w="1728"/>
          </w:tcPr>
          <w:p>
            <w:r>
              <w:rPr>
                <w:rFonts w:ascii="Calibri" w:hAnsi="Calibri"/>
                <w:sz w:val="22"/>
              </w:rPr>
              <w:t>—</w:t>
            </w:r>
          </w:p>
        </w:tc>
        <w:tc>
          <w:tcPr>
            <w:tcW w:type="dxa" w:w="1728"/>
          </w:tcPr>
          <w:p>
            <w:r>
              <w:rPr>
                <w:rFonts w:ascii="Calibri" w:hAnsi="Calibri"/>
                <w:sz w:val="22"/>
              </w:rPr>
              <w:t>~22.9% (segment basis)</w:t>
            </w:r>
          </w:p>
        </w:tc>
        <w:tc>
          <w:tcPr>
            <w:tcW w:type="dxa" w:w="1728"/>
          </w:tcPr>
          <w:p>
            <w:r>
              <w:rPr>
                <w:rFonts w:ascii="Calibri" w:hAnsi="Calibri"/>
                <w:sz w:val="22"/>
              </w:rPr>
              <w:t>Segment margin consensus above enterprise margin guide due to definitional difference (enterprise includes corporate ~$110M); no change in tone</w:t>
            </w:r>
          </w:p>
        </w:tc>
      </w:tr>
      <w:tr>
        <w:tc>
          <w:tcPr>
            <w:tcW w:type="dxa" w:w="1728"/>
          </w:tcPr>
          <w:p>
            <w:r>
              <w:rPr>
                <w:rFonts w:ascii="Calibri" w:hAnsi="Calibri"/>
                <w:sz w:val="22"/>
              </w:rPr>
              <w:t>Q3 FY2026 Adjusted EPS</w:t>
            </w:r>
          </w:p>
        </w:tc>
        <w:tc>
          <w:tcPr>
            <w:tcW w:type="dxa" w:w="1728"/>
          </w:tcPr>
          <w:p>
            <w:r>
              <w:rPr>
                <w:rFonts w:ascii="Calibri" w:hAnsi="Calibri"/>
                <w:sz w:val="22"/>
              </w:rPr>
              <w:t>~$3.35 (up ~$0.05 seq.)</w:t>
            </w:r>
          </w:p>
        </w:tc>
        <w:tc>
          <w:tcPr>
            <w:tcW w:type="dxa" w:w="1728"/>
          </w:tcPr>
          <w:p>
            <w:r>
              <w:rPr>
                <w:rFonts w:ascii="Calibri" w:hAnsi="Calibri"/>
                <w:sz w:val="22"/>
              </w:rPr>
              <w:t>—</w:t>
            </w:r>
          </w:p>
        </w:tc>
        <w:tc>
          <w:tcPr>
            <w:tcW w:type="dxa" w:w="1728"/>
          </w:tcPr>
          <w:p>
            <w:r>
              <w:rPr>
                <w:rFonts w:ascii="Calibri" w:hAnsi="Calibri"/>
                <w:sz w:val="22"/>
              </w:rPr>
              <w:t>$3.39</w:t>
            </w:r>
          </w:p>
        </w:tc>
        <w:tc>
          <w:tcPr>
            <w:tcW w:type="dxa" w:w="1728"/>
          </w:tcPr>
          <w:p>
            <w:r>
              <w:rPr>
                <w:rFonts w:ascii="Calibri" w:hAnsi="Calibri"/>
                <w:sz w:val="22"/>
              </w:rPr>
              <w:t>Consensus $0.04 above implied midpoint; management guided "mid- to high-teens" YoY growth, consistent with $3.39</w:t>
            </w:r>
          </w:p>
        </w:tc>
      </w:tr>
      <w:tr>
        <w:tc>
          <w:tcPr>
            <w:tcW w:type="dxa" w:w="1728"/>
          </w:tcPr>
          <w:p>
            <w:r>
              <w:rPr>
                <w:rFonts w:ascii="Calibri" w:hAnsi="Calibri"/>
                <w:sz w:val="22"/>
              </w:rPr>
              <w:t>Q3 FY2026 Sales</w:t>
            </w:r>
          </w:p>
        </w:tc>
        <w:tc>
          <w:tcPr>
            <w:tcW w:type="dxa" w:w="1728"/>
          </w:tcPr>
          <w:p>
            <w:r>
              <w:rPr>
                <w:rFonts w:ascii="Calibri" w:hAnsi="Calibri"/>
                <w:sz w:val="22"/>
              </w:rPr>
              <w:t>Roughly flat sequentially (~$2.24B implied)</w:t>
            </w:r>
          </w:p>
        </w:tc>
        <w:tc>
          <w:tcPr>
            <w:tcW w:type="dxa" w:w="1728"/>
          </w:tcPr>
          <w:p>
            <w:r>
              <w:rPr>
                <w:rFonts w:ascii="Calibri" w:hAnsi="Calibri"/>
                <w:sz w:val="22"/>
              </w:rPr>
              <w:t>—</w:t>
            </w:r>
          </w:p>
        </w:tc>
        <w:tc>
          <w:tcPr>
            <w:tcW w:type="dxa" w:w="1728"/>
          </w:tcPr>
          <w:p>
            <w:r>
              <w:rPr>
                <w:rFonts w:ascii="Calibri" w:hAnsi="Calibri"/>
                <w:sz w:val="22"/>
              </w:rPr>
              <w:t>$2,249M</w:t>
            </w:r>
          </w:p>
        </w:tc>
        <w:tc>
          <w:tcPr>
            <w:tcW w:type="dxa" w:w="1728"/>
          </w:tcPr>
          <w:p>
            <w:r>
              <w:rPr>
                <w:rFonts w:ascii="Calibri" w:hAnsi="Calibri"/>
                <w:sz w:val="22"/>
              </w:rPr>
              <w:t>Consensus slightly above implied flat-seq. guide; Sensia dissolution ~$50M headwind offset by ID growth</w:t>
            </w:r>
          </w:p>
        </w:tc>
      </w:tr>
      <w:tr>
        <w:tc>
          <w:tcPr>
            <w:tcW w:type="dxa" w:w="1728"/>
          </w:tcPr>
          <w:p>
            <w:r>
              <w:rPr>
                <w:rFonts w:ascii="Calibri" w:hAnsi="Calibri"/>
                <w:sz w:val="22"/>
              </w:rPr>
              <w:t>Software &amp; Control Segment Margin (Q3)</w:t>
            </w:r>
          </w:p>
        </w:tc>
        <w:tc>
          <w:tcPr>
            <w:tcW w:type="dxa" w:w="1728"/>
          </w:tcPr>
          <w:p>
            <w:r>
              <w:rPr>
                <w:rFonts w:ascii="Calibri" w:hAnsi="Calibri"/>
                <w:sz w:val="22"/>
              </w:rPr>
              <w:t>Down sequentially from Q2's 34.9%; FY: low 30s</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Memory chip cost inflation is a "double-digit million dollar" H2 headwind; management explicitly guided S&amp;C margins lower in Q3 at Wells Fargo conference (Jun 11)</w:t>
            </w:r>
          </w:p>
        </w:tc>
      </w:tr>
      <w:tr>
        <w:tc>
          <w:tcPr>
            <w:tcW w:type="dxa" w:w="1728"/>
          </w:tcPr>
          <w:p>
            <w:r>
              <w:rPr>
                <w:rFonts w:ascii="Calibri" w:hAnsi="Calibri"/>
                <w:sz w:val="22"/>
              </w:rPr>
              <w:t>FY2026 ARR Growth</w:t>
            </w:r>
          </w:p>
        </w:tc>
        <w:tc>
          <w:tcPr>
            <w:tcW w:type="dxa" w:w="1728"/>
          </w:tcPr>
          <w:p>
            <w:r>
              <w:rPr>
                <w:rFonts w:ascii="Calibri" w:hAnsi="Calibri"/>
                <w:sz w:val="22"/>
              </w:rPr>
              <w:t>High single digits; software ARR faster than services</w:t>
            </w:r>
          </w:p>
        </w:tc>
        <w:tc>
          <w:tcPr>
            <w:tcW w:type="dxa" w:w="1728"/>
          </w:tcPr>
          <w:p>
            <w:r>
              <w:rPr>
                <w:rFonts w:ascii="Calibri" w:hAnsi="Calibri"/>
                <w:sz w:val="22"/>
              </w:rPr>
              <w:t>—</w:t>
            </w:r>
          </w:p>
        </w:tc>
        <w:tc>
          <w:tcPr>
            <w:tcW w:type="dxa" w:w="1728"/>
          </w:tcPr>
          <w:p>
            <w:r>
              <w:rPr>
                <w:rFonts w:ascii="Calibri" w:hAnsi="Calibri"/>
                <w:sz w:val="22"/>
              </w:rPr>
              <w:t>N/A (not in VA)</w:t>
            </w:r>
          </w:p>
        </w:tc>
        <w:tc>
          <w:tcPr>
            <w:tcW w:type="dxa" w:w="1728"/>
          </w:tcPr>
          <w:p>
            <w:r>
              <w:rPr>
                <w:rFonts w:ascii="Calibri" w:hAnsi="Calibri"/>
                <w:sz w:val="22"/>
              </w:rPr>
              <w:t>Reaffirmed at Baird conference (Jun 2); recurring services decelerating as customers defer non-urgent spend; software ARR growing high single digits</w:t>
            </w:r>
          </w:p>
        </w:tc>
      </w:tr>
      <w:tr>
        <w:tc>
          <w:tcPr>
            <w:tcW w:type="dxa" w:w="1728"/>
          </w:tcPr>
          <w:p>
            <w:r>
              <w:rPr>
                <w:rFonts w:ascii="Calibri" w:hAnsi="Calibri"/>
                <w:sz w:val="22"/>
              </w:rPr>
              <w:t>FY2026 Total Price Contribution</w:t>
            </w:r>
          </w:p>
        </w:tc>
        <w:tc>
          <w:tcPr>
            <w:tcW w:type="dxa" w:w="1728"/>
          </w:tcPr>
          <w:p>
            <w:r>
              <w:rPr>
                <w:rFonts w:ascii="Calibri" w:hAnsi="Calibri"/>
                <w:sz w:val="22"/>
              </w:rPr>
              <w:t>~250 bps (150 bps underlying + 100 bps tariff-related)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Wells Fargo (Jun 11) and Baird (Jun 2); management noted price/cost alignment may not be perfect in any single quarter, especially Q3</w:t>
            </w:r>
          </w:p>
        </w:tc>
      </w:tr>
    </w:tbl>
    <w:p>
      <w:r>
        <w:rPr>
          <w:rFonts w:ascii="Calibri" w:hAnsi="Calibri"/>
          <w:color w:val="525866"/>
          <w:sz w:val="22"/>
        </w:rPr>
        <w:t>Sources: ROK Q2 FY2026 Earnings Call transcript (May 5, 2026); ROK Wells Fargo Industrials and Materials Conference transcript (June 11, 2026); ROK Baird Global Consumer, Tech &amp; Services Conference transcript (June 2,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only modestly higher since the Q2 beat-and-raise, suggesting the street has absorbed the guidance raise without aggressively chasing further upside. Consensus sits slightly above the guidance midpoint on EPS, which is consistent with ROK's recent pattern of beating the midpoint. The gap is a cushion,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12, 2026 — ~5 Days Post Q2 Print)</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5, 2026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Q3 FY2026</w:t>
            </w:r>
          </w:p>
        </w:tc>
        <w:tc>
          <w:tcPr>
            <w:tcW w:type="dxa" w:w="1080"/>
          </w:tcPr>
          <w:p>
            <w:r>
              <w:rPr>
                <w:rFonts w:ascii="Calibri" w:hAnsi="Calibri"/>
                <w:sz w:val="22"/>
              </w:rPr>
              <w:t>$3.376</w:t>
            </w:r>
          </w:p>
        </w:tc>
        <w:tc>
          <w:tcPr>
            <w:tcW w:type="dxa" w:w="1080"/>
          </w:tcPr>
          <w:p>
            <w:r>
              <w:rPr>
                <w:rFonts w:ascii="Calibri" w:hAnsi="Calibri"/>
                <w:sz w:val="22"/>
              </w:rPr>
              <w:t>$3.389</w:t>
            </w:r>
          </w:p>
        </w:tc>
        <w:tc>
          <w:tcPr>
            <w:tcW w:type="dxa" w:w="1080"/>
          </w:tcPr>
          <w:p>
            <w:r>
              <w:rPr>
                <w:rFonts w:ascii="Calibri" w:hAnsi="Calibri"/>
                <w:sz w:val="22"/>
              </w:rPr>
              <w:t>+0.4%</w:t>
            </w:r>
          </w:p>
        </w:tc>
        <w:tc>
          <w:tcPr>
            <w:tcW w:type="dxa" w:w="1080"/>
          </w:tcPr>
          <w:p>
            <w:r>
              <w:rPr>
                <w:rFonts w:ascii="Calibri" w:hAnsi="Calibri"/>
                <w:sz w:val="22"/>
              </w:rPr>
              <w:t>~$3.35 (up ~$0.05 seq.)</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+$0.04 / +1.2% above implied midpoint</w:t>
            </w:r>
          </w:p>
        </w:tc>
      </w:tr>
      <w:tr>
        <w:tc>
          <w:tcPr>
            <w:tcW w:type="dxa" w:w="1080"/>
          </w:tcPr>
          <w:p>
            <w:r>
              <w:rPr>
                <w:rFonts w:ascii="Calibri" w:hAnsi="Calibri"/>
                <w:sz w:val="22"/>
              </w:rPr>
              <w:t>Adj. EPS — FY2026</w:t>
            </w:r>
          </w:p>
        </w:tc>
        <w:tc>
          <w:tcPr>
            <w:tcW w:type="dxa" w:w="1080"/>
          </w:tcPr>
          <w:p>
            <w:r>
              <w:rPr>
                <w:rFonts w:ascii="Calibri" w:hAnsi="Calibri"/>
                <w:sz w:val="22"/>
              </w:rPr>
              <w:t>$12.994</w:t>
            </w:r>
          </w:p>
        </w:tc>
        <w:tc>
          <w:tcPr>
            <w:tcW w:type="dxa" w:w="1080"/>
          </w:tcPr>
          <w:p>
            <w:r>
              <w:rPr>
                <w:rFonts w:ascii="Calibri" w:hAnsi="Calibri"/>
                <w:sz w:val="22"/>
              </w:rPr>
              <w:t>$13.038</w:t>
            </w:r>
          </w:p>
        </w:tc>
        <w:tc>
          <w:tcPr>
            <w:tcW w:type="dxa" w:w="1080"/>
          </w:tcPr>
          <w:p>
            <w:r>
              <w:rPr>
                <w:rFonts w:ascii="Calibri" w:hAnsi="Calibri"/>
                <w:sz w:val="22"/>
              </w:rPr>
              <w:t>+0.3%</w:t>
            </w:r>
          </w:p>
        </w:tc>
        <w:tc>
          <w:tcPr>
            <w:tcW w:type="dxa" w:w="1080"/>
          </w:tcPr>
          <w:p>
            <w:r>
              <w:rPr>
                <w:rFonts w:ascii="Calibri" w:hAnsi="Calibri"/>
                <w:sz w:val="22"/>
              </w:rPr>
              <w:t>$12.50–$13.10 ($12.80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+$0.24 / +1.9% above midpoint</w:t>
            </w:r>
          </w:p>
        </w:tc>
      </w:tr>
      <w:tr>
        <w:tc>
          <w:tcPr>
            <w:tcW w:type="dxa" w:w="1080"/>
          </w:tcPr>
          <w:p>
            <w:r>
              <w:rPr>
                <w:rFonts w:ascii="Calibri" w:hAnsi="Calibri"/>
                <w:sz w:val="22"/>
              </w:rPr>
              <w:t>Net Sales — Q3 FY2026</w:t>
            </w:r>
          </w:p>
        </w:tc>
        <w:tc>
          <w:tcPr>
            <w:tcW w:type="dxa" w:w="1080"/>
          </w:tcPr>
          <w:p>
            <w:r>
              <w:rPr>
                <w:rFonts w:ascii="Calibri" w:hAnsi="Calibri"/>
                <w:sz w:val="22"/>
              </w:rPr>
              <w:t>$2,244M</w:t>
            </w:r>
          </w:p>
        </w:tc>
        <w:tc>
          <w:tcPr>
            <w:tcW w:type="dxa" w:w="1080"/>
          </w:tcPr>
          <w:p>
            <w:r>
              <w:rPr>
                <w:rFonts w:ascii="Calibri" w:hAnsi="Calibri"/>
                <w:sz w:val="22"/>
              </w:rPr>
              <w:t>$2,249M</w:t>
            </w:r>
          </w:p>
        </w:tc>
        <w:tc>
          <w:tcPr>
            <w:tcW w:type="dxa" w:w="1080"/>
          </w:tcPr>
          <w:p>
            <w:r>
              <w:rPr>
                <w:rFonts w:ascii="Calibri" w:hAnsi="Calibri"/>
                <w:sz w:val="22"/>
              </w:rPr>
              <w:t>+0.2%</w:t>
            </w:r>
          </w:p>
        </w:tc>
        <w:tc>
          <w:tcPr>
            <w:tcW w:type="dxa" w:w="1080"/>
          </w:tcPr>
          <w:p>
            <w:r>
              <w:rPr>
                <w:rFonts w:ascii="Calibri" w:hAnsi="Calibri"/>
                <w:sz w:val="22"/>
              </w:rPr>
              <w:t>Roughly flat seq. (~$2.24B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+~$9M / +0.4% above implied</w:t>
            </w:r>
          </w:p>
        </w:tc>
      </w:tr>
      <w:tr>
        <w:tc>
          <w:tcPr>
            <w:tcW w:type="dxa" w:w="1080"/>
          </w:tcPr>
          <w:p>
            <w:r>
              <w:rPr>
                <w:rFonts w:ascii="Calibri" w:hAnsi="Calibri"/>
                <w:sz w:val="22"/>
              </w:rPr>
              <w:t>Net Sales — FY2026</w:t>
            </w:r>
          </w:p>
        </w:tc>
        <w:tc>
          <w:tcPr>
            <w:tcW w:type="dxa" w:w="1080"/>
          </w:tcPr>
          <w:p>
            <w:r>
              <w:rPr>
                <w:rFonts w:ascii="Calibri" w:hAnsi="Calibri"/>
                <w:sz w:val="22"/>
              </w:rPr>
              <w:t>$8,967M</w:t>
            </w:r>
          </w:p>
        </w:tc>
        <w:tc>
          <w:tcPr>
            <w:tcW w:type="dxa" w:w="1080"/>
          </w:tcPr>
          <w:p>
            <w:r>
              <w:rPr>
                <w:rFonts w:ascii="Calibri" w:hAnsi="Calibri"/>
                <w:sz w:val="22"/>
              </w:rPr>
              <w:t>$8,969M</w:t>
            </w:r>
          </w:p>
        </w:tc>
        <w:tc>
          <w:tcPr>
            <w:tcW w:type="dxa" w:w="1080"/>
          </w:tcPr>
          <w:p>
            <w:r>
              <w:rPr>
                <w:rFonts w:ascii="Calibri" w:hAnsi="Calibri"/>
                <w:sz w:val="22"/>
              </w:rPr>
              <w:t>+0.0%</w:t>
            </w:r>
          </w:p>
        </w:tc>
        <w:tc>
          <w:tcPr>
            <w:tcW w:type="dxa" w:w="1080"/>
          </w:tcPr>
          <w:p>
            <w:r>
              <w:rPr>
                <w:rFonts w:ascii="Calibri" w:hAnsi="Calibri"/>
                <w:sz w:val="22"/>
              </w:rPr>
              <w:t>~$8.9B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+~$69M / +0.8% above midpoint</w:t>
            </w:r>
          </w:p>
        </w:tc>
      </w:tr>
      <w:tr>
        <w:tc>
          <w:tcPr>
            <w:tcW w:type="dxa" w:w="1080"/>
          </w:tcPr>
          <w:p>
            <w:r>
              <w:rPr>
                <w:rFonts w:ascii="Calibri" w:hAnsi="Calibri"/>
                <w:sz w:val="22"/>
              </w:rPr>
              <w:t>Organic Growth — Q3 FY2026</w:t>
            </w:r>
          </w:p>
        </w:tc>
        <w:tc>
          <w:tcPr>
            <w:tcW w:type="dxa" w:w="1080"/>
          </w:tcPr>
          <w:p>
            <w:r>
              <w:rPr>
                <w:rFonts w:ascii="Calibri" w:hAnsi="Calibri"/>
                <w:sz w:val="22"/>
              </w:rPr>
              <w:t>~6.2%</w:t>
            </w:r>
          </w:p>
        </w:tc>
        <w:tc>
          <w:tcPr>
            <w:tcW w:type="dxa" w:w="1080"/>
          </w:tcPr>
          <w:p>
            <w:r>
              <w:rPr>
                <w:rFonts w:ascii="Calibri" w:hAnsi="Calibri"/>
                <w:sz w:val="22"/>
              </w:rPr>
              <w:t>~6.4%</w:t>
            </w:r>
          </w:p>
        </w:tc>
        <w:tc>
          <w:tcPr>
            <w:tcW w:type="dxa" w:w="1080"/>
          </w:tcPr>
          <w:p>
            <w:r>
              <w:rPr>
                <w:rFonts w:ascii="Calibri" w:hAnsi="Calibri"/>
                <w:sz w:val="22"/>
              </w:rPr>
              <w:t>+20 bps</w:t>
            </w:r>
          </w:p>
        </w:tc>
        <w:tc>
          <w:tcPr>
            <w:tcW w:type="dxa" w:w="1080"/>
          </w:tcPr>
          <w:p>
            <w:r>
              <w:rPr>
                <w:rFonts w:ascii="Calibri" w:hAnsi="Calibri"/>
                <w:sz w:val="22"/>
              </w:rPr>
              <w:t>Implied by flat-seq. sales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guided corridor</w:t>
            </w:r>
          </w:p>
        </w:tc>
      </w:tr>
      <w:tr>
        <w:tc>
          <w:tcPr>
            <w:tcW w:type="dxa" w:w="1080"/>
          </w:tcPr>
          <w:p>
            <w:r>
              <w:rPr>
                <w:rFonts w:ascii="Calibri" w:hAnsi="Calibri"/>
                <w:sz w:val="22"/>
              </w:rPr>
              <w:t>Organic Growth — FY2026</w:t>
            </w:r>
          </w:p>
        </w:tc>
        <w:tc>
          <w:tcPr>
            <w:tcW w:type="dxa" w:w="1080"/>
          </w:tcPr>
          <w:p>
            <w:r>
              <w:rPr>
                <w:rFonts w:ascii="Calibri" w:hAnsi="Calibri"/>
                <w:sz w:val="22"/>
              </w:rPr>
              <w:t>~7.4%</w:t>
            </w:r>
          </w:p>
        </w:tc>
        <w:tc>
          <w:tcPr>
            <w:tcW w:type="dxa" w:w="1080"/>
          </w:tcPr>
          <w:p>
            <w:r>
              <w:rPr>
                <w:rFonts w:ascii="Calibri" w:hAnsi="Calibri"/>
                <w:sz w:val="22"/>
              </w:rPr>
              <w:t>~7.4%</w:t>
            </w:r>
          </w:p>
        </w:tc>
        <w:tc>
          <w:tcPr>
            <w:tcW w:type="dxa" w:w="1080"/>
          </w:tcPr>
          <w:p>
            <w:r>
              <w:rPr>
                <w:rFonts w:ascii="Calibri" w:hAnsi="Calibri"/>
                <w:sz w:val="22"/>
              </w:rPr>
              <w:t>Flat</w:t>
            </w:r>
          </w:p>
        </w:tc>
        <w:tc>
          <w:tcPr>
            <w:tcW w:type="dxa" w:w="1080"/>
          </w:tcPr>
          <w:p>
            <w:r>
              <w:rPr>
                <w:rFonts w:ascii="Calibri" w:hAnsi="Calibri"/>
                <w:sz w:val="22"/>
              </w:rPr>
              <w:t>5%–9% (7%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+40 bps above midpoint</w:t>
            </w:r>
          </w:p>
        </w:tc>
      </w:tr>
    </w:tbl>
    <w:p>
      <w:r>
        <w:rPr>
          <w:rFonts w:ascii="Calibri" w:hAnsi="Calibri"/>
          <w:b/>
          <w:color w:val="525866"/>
          <w:sz w:val="22"/>
        </w:rPr>
        <w:t xml:space="preserve">Commentary: </w:t>
      </w:r>
      <w:r>
        <w:rPr>
          <w:rFonts w:ascii="Calibri" w:hAnsi="Calibri"/>
          <w:color w:val="525866"/>
          <w:sz w:val="22"/>
        </w:rPr>
        <w:t>The revision picture is remarkably stable — estimates have barely moved since the Q2 print, which is unusual given the magnitude of the beat (+14% EPS surprise). This suggests the street is treating the Q2 outperformance as partially one-time ("perfect storm" of volume, mix, and price-cost) and is waiting for Q3 confirmation before revising higher. Consensus sitting ~1–2% above the guidance midpoint on EPS is consistent with ROK's recent beat pattern and represents a modest cushion rather than a stretched bar.</w:t>
      </w:r>
    </w:p>
    <w:p>
      <w:r>
        <w:rPr>
          <w:rFonts w:ascii="Calibri" w:hAnsi="Calibri"/>
          <w:color w:val="525866"/>
          <w:sz w:val="22"/>
        </w:rPr>
        <w:t>Source: Visible Alpha Consensus and Actuals Data (revision history table, weekly frequency, May 8 – Aug 3, 2026). Guidance from ROK Q2 FY2026 Earnings Call transcript (May 5,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ROK has outperformed both XLI and the S&amp;P 500 since the Q2 print, driven primarily by the magnitude of the earnings beat and guidance raise. The 3-month performance (+18%) reflects both multiple expansion (+7.6% on EV/EBITDA) and estimate revision, suggesting the stock is pricing in continued execution rather than a further re-rating.</w:t>
      </w:r>
    </w:p>
    <w:p>
      <w:pPr>
        <w:pStyle w:val="Heading3"/>
      </w:pPr>
      <w:r>
        <w:rPr>
          <w:rFonts w:ascii="Calibri" w:hAnsi="Calibri"/>
          <w:b/>
          <w:color w:val="3B4259"/>
          <w:sz w:val="24"/>
        </w:rPr>
        <w:t>Stock Performance: ROK vs. XLI vs. S&amp;P 500 — Since Q2 FY2026 Earnings (May 5,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ROK Price</w:t>
            </w:r>
          </w:p>
        </w:tc>
        <w:tc>
          <w:tcPr>
            <w:tcW w:type="dxa" w:w="1728"/>
            <w:shd w:val="clear" w:color="auto" w:fill="3B4259"/>
          </w:tcPr>
          <w:p>
            <w:r>
              <w:rPr>
                <w:rFonts w:ascii="Calibri" w:hAnsi="Calibri"/>
                <w:b/>
                <w:color w:val="FFFFFF"/>
                <w:sz w:val="22"/>
              </w:rPr>
              <w:t>ROK Indexed (Base=100)</w:t>
            </w:r>
          </w:p>
        </w:tc>
        <w:tc>
          <w:tcPr>
            <w:tcW w:type="dxa" w:w="1728"/>
            <w:shd w:val="clear" w:color="auto" w:fill="3B4259"/>
          </w:tcPr>
          <w:p>
            <w:r>
              <w:rPr>
                <w:rFonts w:ascii="Calibri" w:hAnsi="Calibri"/>
                <w:b/>
                <w:color w:val="FFFFFF"/>
                <w:sz w:val="22"/>
              </w:rPr>
              <w:t>XLI Indexed (Base=100)</w:t>
            </w:r>
          </w:p>
        </w:tc>
        <w:tc>
          <w:tcPr>
            <w:tcW w:type="dxa" w:w="1728"/>
            <w:shd w:val="clear" w:color="auto" w:fill="3B4259"/>
          </w:tcPr>
          <w:p>
            <w:r>
              <w:rPr>
                <w:rFonts w:ascii="Calibri" w:hAnsi="Calibri"/>
                <w:b/>
                <w:color w:val="FFFFFF"/>
                <w:sz w:val="22"/>
              </w:rPr>
              <w:t>SPY Indexed (Base=100)</w:t>
            </w:r>
          </w:p>
        </w:tc>
      </w:tr>
      <w:tr>
        <w:tc>
          <w:tcPr>
            <w:tcW w:type="dxa" w:w="1728"/>
          </w:tcPr>
          <w:p>
            <w:r>
              <w:rPr>
                <w:rFonts w:ascii="Calibri" w:hAnsi="Calibri"/>
                <w:sz w:val="22"/>
              </w:rPr>
              <w:t>May 5, 2026 (Q2 Earnings Day)</w:t>
            </w:r>
          </w:p>
        </w:tc>
        <w:tc>
          <w:tcPr>
            <w:tcW w:type="dxa" w:w="1728"/>
          </w:tcPr>
          <w:p>
            <w:r>
              <w:rPr>
                <w:rFonts w:ascii="Calibri" w:hAnsi="Calibri"/>
                <w:sz w:val="22"/>
              </w:rPr>
              <w:t>$435.93</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May 6, 2026 (Day After Earnings)</w:t>
            </w:r>
          </w:p>
        </w:tc>
        <w:tc>
          <w:tcPr>
            <w:tcW w:type="dxa" w:w="1728"/>
          </w:tcPr>
          <w:p>
            <w:r>
              <w:rPr>
                <w:rFonts w:ascii="Calibri" w:hAnsi="Calibri"/>
                <w:sz w:val="22"/>
              </w:rPr>
              <w:t>$459.35</w:t>
            </w:r>
          </w:p>
        </w:tc>
        <w:tc>
          <w:tcPr>
            <w:tcW w:type="dxa" w:w="1728"/>
          </w:tcPr>
          <w:p>
            <w:r>
              <w:rPr>
                <w:rFonts w:ascii="Calibri" w:hAnsi="Calibri"/>
                <w:sz w:val="22"/>
              </w:rPr>
              <w:t>105.4</w:t>
            </w:r>
          </w:p>
        </w:tc>
        <w:tc>
          <w:tcPr>
            <w:tcW w:type="dxa" w:w="1728"/>
          </w:tcPr>
          <w:p>
            <w:r>
              <w:rPr>
                <w:rFonts w:ascii="Calibri" w:hAnsi="Calibri"/>
                <w:sz w:val="22"/>
              </w:rPr>
              <w:t>102.6</w:t>
            </w:r>
          </w:p>
        </w:tc>
        <w:tc>
          <w:tcPr>
            <w:tcW w:type="dxa" w:w="1728"/>
          </w:tcPr>
          <w:p>
            <w:r>
              <w:rPr>
                <w:rFonts w:ascii="Calibri" w:hAnsi="Calibri"/>
                <w:sz w:val="22"/>
              </w:rPr>
              <w:t>101.4</w:t>
            </w:r>
          </w:p>
        </w:tc>
      </w:tr>
      <w:tr>
        <w:tc>
          <w:tcPr>
            <w:tcW w:type="dxa" w:w="1728"/>
          </w:tcPr>
          <w:p>
            <w:r>
              <w:rPr>
                <w:rFonts w:ascii="Calibri" w:hAnsi="Calibri"/>
                <w:sz w:val="22"/>
              </w:rPr>
              <w:t>May 30, 2026</w:t>
            </w:r>
          </w:p>
        </w:tc>
        <w:tc>
          <w:tcPr>
            <w:tcW w:type="dxa" w:w="1728"/>
          </w:tcPr>
          <w:p>
            <w:r>
              <w:rPr>
                <w:rFonts w:ascii="Calibri" w:hAnsi="Calibri"/>
                <w:sz w:val="22"/>
              </w:rPr>
              <w:t>$451.06</w:t>
            </w:r>
          </w:p>
        </w:tc>
        <w:tc>
          <w:tcPr>
            <w:tcW w:type="dxa" w:w="1728"/>
          </w:tcPr>
          <w:p>
            <w:r>
              <w:rPr>
                <w:rFonts w:ascii="Calibri" w:hAnsi="Calibri"/>
                <w:sz w:val="22"/>
              </w:rPr>
              <w:t>103.5</w:t>
            </w:r>
          </w:p>
        </w:tc>
        <w:tc>
          <w:tcPr>
            <w:tcW w:type="dxa" w:w="1728"/>
          </w:tcPr>
          <w:p>
            <w:r>
              <w:rPr>
                <w:rFonts w:ascii="Calibri" w:hAnsi="Calibri"/>
                <w:sz w:val="22"/>
              </w:rPr>
              <w:t>100.4</w:t>
            </w:r>
          </w:p>
        </w:tc>
        <w:tc>
          <w:tcPr>
            <w:tcW w:type="dxa" w:w="1728"/>
          </w:tcPr>
          <w:p>
            <w:r>
              <w:rPr>
                <w:rFonts w:ascii="Calibri" w:hAnsi="Calibri"/>
                <w:sz w:val="22"/>
              </w:rPr>
              <w:t>104.5</w:t>
            </w:r>
          </w:p>
        </w:tc>
      </w:tr>
      <w:tr>
        <w:tc>
          <w:tcPr>
            <w:tcW w:type="dxa" w:w="1728"/>
          </w:tcPr>
          <w:p>
            <w:r>
              <w:rPr>
                <w:rFonts w:ascii="Calibri" w:hAnsi="Calibri"/>
                <w:sz w:val="22"/>
              </w:rPr>
              <w:t>June 30, 2026</w:t>
            </w:r>
          </w:p>
        </w:tc>
        <w:tc>
          <w:tcPr>
            <w:tcW w:type="dxa" w:w="1728"/>
          </w:tcPr>
          <w:p>
            <w:r>
              <w:rPr>
                <w:rFonts w:ascii="Calibri" w:hAnsi="Calibri"/>
                <w:sz w:val="22"/>
              </w:rPr>
              <w:t>$495.08</w:t>
            </w:r>
          </w:p>
        </w:tc>
        <w:tc>
          <w:tcPr>
            <w:tcW w:type="dxa" w:w="1728"/>
          </w:tcPr>
          <w:p>
            <w:r>
              <w:rPr>
                <w:rFonts w:ascii="Calibri" w:hAnsi="Calibri"/>
                <w:sz w:val="22"/>
              </w:rPr>
              <w:t>113.6</w:t>
            </w:r>
          </w:p>
        </w:tc>
        <w:tc>
          <w:tcPr>
            <w:tcW w:type="dxa" w:w="1728"/>
          </w:tcPr>
          <w:p>
            <w:r>
              <w:rPr>
                <w:rFonts w:ascii="Calibri" w:hAnsi="Calibri"/>
                <w:sz w:val="22"/>
              </w:rPr>
              <w:t>107.4</w:t>
            </w:r>
          </w:p>
        </w:tc>
        <w:tc>
          <w:tcPr>
            <w:tcW w:type="dxa" w:w="1728"/>
          </w:tcPr>
          <w:p>
            <w:r>
              <w:rPr>
                <w:rFonts w:ascii="Calibri" w:hAnsi="Calibri"/>
                <w:sz w:val="22"/>
              </w:rPr>
              <w:t>103.2</w:t>
            </w:r>
          </w:p>
        </w:tc>
      </w:tr>
      <w:tr>
        <w:tc>
          <w:tcPr>
            <w:tcW w:type="dxa" w:w="1728"/>
          </w:tcPr>
          <w:p>
            <w:r>
              <w:rPr>
                <w:rFonts w:ascii="Calibri" w:hAnsi="Calibri"/>
                <w:sz w:val="22"/>
              </w:rPr>
              <w:t>July 31, 2026</w:t>
            </w:r>
          </w:p>
        </w:tc>
        <w:tc>
          <w:tcPr>
            <w:tcW w:type="dxa" w:w="1728"/>
          </w:tcPr>
          <w:p>
            <w:r>
              <w:rPr>
                <w:rFonts w:ascii="Calibri" w:hAnsi="Calibri"/>
                <w:sz w:val="22"/>
              </w:rPr>
              <w:t>$480.08</w:t>
            </w:r>
          </w:p>
        </w:tc>
        <w:tc>
          <w:tcPr>
            <w:tcW w:type="dxa" w:w="1728"/>
          </w:tcPr>
          <w:p>
            <w:r>
              <w:rPr>
                <w:rFonts w:ascii="Calibri" w:hAnsi="Calibri"/>
                <w:sz w:val="22"/>
              </w:rPr>
              <w:t>110.1</w:t>
            </w:r>
          </w:p>
        </w:tc>
        <w:tc>
          <w:tcPr>
            <w:tcW w:type="dxa" w:w="1728"/>
          </w:tcPr>
          <w:p>
            <w:r>
              <w:rPr>
                <w:rFonts w:ascii="Calibri" w:hAnsi="Calibri"/>
                <w:sz w:val="22"/>
              </w:rPr>
              <w:t>104.3</w:t>
            </w:r>
          </w:p>
        </w:tc>
        <w:tc>
          <w:tcPr>
            <w:tcW w:type="dxa" w:w="1728"/>
          </w:tcPr>
          <w:p>
            <w:r>
              <w:rPr>
                <w:rFonts w:ascii="Calibri" w:hAnsi="Calibri"/>
                <w:sz w:val="22"/>
              </w:rPr>
              <w:t>103.2</w:t>
            </w:r>
          </w:p>
        </w:tc>
      </w:tr>
      <w:tr>
        <w:tc>
          <w:tcPr>
            <w:tcW w:type="dxa" w:w="1728"/>
          </w:tcPr>
          <w:p>
            <w:r>
              <w:rPr>
                <w:rFonts w:ascii="Calibri" w:hAnsi="Calibri"/>
                <w:sz w:val="22"/>
              </w:rPr>
              <w:t>Aug 4, 2026 (Latest)</w:t>
            </w:r>
          </w:p>
        </w:tc>
        <w:tc>
          <w:tcPr>
            <w:tcW w:type="dxa" w:w="1728"/>
          </w:tcPr>
          <w:p>
            <w:r>
              <w:rPr>
                <w:rFonts w:ascii="Calibri" w:hAnsi="Calibri"/>
                <w:sz w:val="22"/>
              </w:rPr>
              <w:t>$480.98</w:t>
            </w:r>
          </w:p>
        </w:tc>
        <w:tc>
          <w:tcPr>
            <w:tcW w:type="dxa" w:w="1728"/>
          </w:tcPr>
          <w:p>
            <w:r>
              <w:rPr>
                <w:rFonts w:ascii="Calibri" w:hAnsi="Calibri"/>
                <w:sz w:val="22"/>
              </w:rPr>
              <w:t>110.3</w:t>
            </w:r>
          </w:p>
        </w:tc>
        <w:tc>
          <w:tcPr>
            <w:tcW w:type="dxa" w:w="1728"/>
          </w:tcPr>
          <w:p>
            <w:r>
              <w:rPr>
                <w:rFonts w:ascii="Calibri" w:hAnsi="Calibri"/>
                <w:sz w:val="22"/>
              </w:rPr>
              <w:t>106.2</w:t>
            </w:r>
          </w:p>
        </w:tc>
        <w:tc>
          <w:tcPr>
            <w:tcW w:type="dxa" w:w="1728"/>
          </w:tcPr>
          <w:p>
            <w:r>
              <w:rPr>
                <w:rFonts w:ascii="Calibri" w:hAnsi="Calibri"/>
                <w:sz w:val="22"/>
              </w:rPr>
              <w:t>104.7</w:t>
            </w:r>
          </w:p>
        </w:tc>
      </w:tr>
    </w:tbl>
    <w:p>
      <w:r>
        <w:rPr>
          <w:rFonts w:ascii="Calibri" w:hAnsi="Calibri"/>
          <w:b/>
          <w:color w:val="525866"/>
          <w:sz w:val="22"/>
        </w:rPr>
        <w:t xml:space="preserve">Performance Summary (May 5 → Aug 4, 2026): </w:t>
      </w:r>
      <w:r>
        <w:rPr>
          <w:rFonts w:ascii="Calibri" w:hAnsi="Calibri"/>
          <w:color w:val="525866"/>
          <w:sz w:val="22"/>
        </w:rPr>
        <w:t>ROK +10.3% | XLI +6.2% | SPY +4.7%. ROK outperformed XLI by ~410 bps and SPY by ~560 bps since the Q2 print. The stock surged ~5.4% on the day after earnings (May 6), reflecting the magnitude of the beat. ROK reached a post-earnings high of $495.08 on June 30 before pulling back ~3% into the Q3 print. The pullback is consistent with normal pre-earnings consolidation and does not signal deteriorating sentiment.</w:t>
      </w:r>
    </w:p>
    <w:p>
      <w:r>
        <w:rPr>
          <w:rFonts w:ascii="Calibri" w:hAnsi="Calibri"/>
          <w:b/>
          <w:color w:val="525866"/>
          <w:sz w:val="22"/>
        </w:rPr>
        <w:t xml:space="preserve">Valuation Context: </w:t>
      </w:r>
      <w:r>
        <w:rPr>
          <w:rFonts w:ascii="Calibri" w:hAnsi="Calibri"/>
          <w:color w:val="525866"/>
          <w:sz w:val="22"/>
        </w:rPr>
        <w:t>ROK trades at ~35x NTM P/E and ~23.6x EV/EBITDA as of August 3, 2026. The 3-month EV/EBITDA multiple has expanded ~7.6% (from 21.9x to 23.6x), suggesting the stock's recent outperformance is a mix of estimate revision and multiple expansion. The 12-month performance (+36.8%) reflects both earnings recovery and re-rating as the destocking cycle ended.</w:t>
      </w:r>
    </w:p>
    <w:p>
      <w:r>
        <w:rPr>
          <w:rFonts w:ascii="Calibri" w:hAnsi="Calibri"/>
          <w:b/>
          <w:color w:val="525866"/>
          <w:sz w:val="22"/>
        </w:rPr>
        <w:t xml:space="preserve">Key Events Since Q2 Earnings: </w:t>
      </w:r>
      <w:r>
        <w:rPr>
          <w:rFonts w:ascii="Calibri" w:hAnsi="Calibri"/>
          <w:color w:val="525866"/>
          <w:sz w:val="22"/>
        </w:rPr>
        <w:t>Wolfe Research conference (May 20) — CFO reaffirmed guidance and noted early Q3 demand tracking Q2 trajectory. Baird conference (June 2) — management raised semiconductor and e-commerce outlooks. Wells Fargo conference (June 11) — management reaffirmed 7% organic midpoint; flagged memory chip cost headwind for Q3 S&amp;C margins.</w:t>
      </w:r>
    </w:p>
    <w:p>
      <w:r>
        <w:rPr>
          <w:rFonts w:ascii="Calibri" w:hAnsi="Calibri"/>
          <w:color w:val="525866"/>
          <w:sz w:val="22"/>
        </w:rPr>
        <w:t>Source: Stock Price Data (Yahoo Finance). Valuation multiples from Implied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Q2 print is the continued reaffirmation of demand breadth at investor conferences, with no negative pre-announcements. The macro backdrop has become incrementally more complex (new tariff rounds, China PMI contraction), but ROK's end-market mix — weighted toward data centers, semiconductors, and e-commerce — is relatively insulated from the most tariff-sensitive verticals.</w:t>
      </w:r>
    </w:p>
    <w:p>
      <w:pPr>
        <w:pStyle w:val="ListBullet"/>
        <w:ind w:left="360" w:hanging="360"/>
      </w:pPr>
      <w:r>
        <w:rPr>
          <w:rFonts w:ascii="Calibri" w:hAnsi="Calibri"/>
          <w:b/>
          <w:color w:val="525866"/>
          <w:sz w:val="22"/>
        </w:rPr>
        <w:t>May 5, 2026 — ROK Q2 FY2026 Earnings Beat &amp; Guidance Raise:</w:t>
      </w:r>
      <w:r>
        <w:rPr>
          <w:rFonts w:ascii="Calibri" w:hAnsi="Calibri"/>
          <w:color w:val="525866"/>
          <w:sz w:val="22"/>
        </w:rPr>
        <w:t xml:space="preserve"> Reported adjusted EPS of $3.30 vs. consensus $2.89 (+14.2%); organic sales +8.6% vs. consensus +5.9%. Full-year adjusted EPS guidance raised to $12.50–$13.10 from $11.40–$12.20. Enterprise operating margin guided to 21.5% vs. prior ~20%. Stock surged ~5.4% the following day. </w:t>
      </w:r>
    </w:p>
    <w:p>
      <w:pPr>
        <w:pStyle w:val="ListBullet"/>
        <w:ind w:left="360" w:hanging="360"/>
      </w:pPr>
      <w:r>
        <w:rPr>
          <w:rFonts w:ascii="Calibri" w:hAnsi="Calibri"/>
          <w:b/>
          <w:color w:val="525866"/>
          <w:sz w:val="22"/>
        </w:rPr>
        <w:t>May 5, 2026 — Sensia JV Dissolution Completed:</w:t>
      </w:r>
      <w:r>
        <w:rPr>
          <w:rFonts w:ascii="Calibri" w:hAnsi="Calibri"/>
          <w:color w:val="525866"/>
          <w:sz w:val="22"/>
        </w:rPr>
        <w:t xml:space="preserve"> The dissolution of the Sensia joint venture with SLB was completed April 1, 2026. Rockwell retained the Process Automation and vMonitor businesses. The dissolution reduces reported revenue by ~$100M for the year but is margin-accretive and EPS-neutral. Lifecycle Services organic growth comparisons will be adjusted for comparable prior-year periods in Q3 and Q4.</w:t>
      </w:r>
    </w:p>
    <w:p>
      <w:pPr>
        <w:pStyle w:val="ListBullet"/>
        <w:ind w:left="360" w:hanging="360"/>
      </w:pPr>
      <w:r>
        <w:rPr>
          <w:rFonts w:ascii="Calibri" w:hAnsi="Calibri"/>
          <w:b/>
          <w:color w:val="525866"/>
          <w:sz w:val="22"/>
        </w:rPr>
        <w:t>May 20, 2026 — Wolfe Research Conference:</w:t>
      </w:r>
      <w:r>
        <w:rPr>
          <w:rFonts w:ascii="Calibri" w:hAnsi="Calibri"/>
          <w:color w:val="525866"/>
          <w:sz w:val="22"/>
        </w:rPr>
        <w:t xml:space="preserve"> CFO Christian Rothe reaffirmed the 7% organic midpoint and noted early Q3 demand trends were tracking the Q2 trajectory. Confirmed channel inventory is "really balanced" with no pre-buy activity detected. European machine tool builder demand showing 5 consecutive quarters of year-over-year growth.</w:t>
      </w:r>
    </w:p>
    <w:p>
      <w:pPr>
        <w:pStyle w:val="ListBullet"/>
        <w:ind w:left="360" w:hanging="360"/>
      </w:pPr>
      <w:r>
        <w:rPr>
          <w:rFonts w:ascii="Calibri" w:hAnsi="Calibri"/>
          <w:b/>
          <w:color w:val="525866"/>
          <w:sz w:val="22"/>
        </w:rPr>
        <w:t>June 2, 2026 — Baird Conference:</w:t>
      </w:r>
      <w:r>
        <w:rPr>
          <w:rFonts w:ascii="Calibri" w:hAnsi="Calibri"/>
          <w:color w:val="525866"/>
          <w:sz w:val="22"/>
        </w:rPr>
        <w:t xml:space="preserve"> Management raised the semiconductor and e-commerce/warehouse automation outlooks for the full year. Data center business "more than doubled" in Q2 and is growing "strong double digits." Confirmed memory chip cost escalation as the primary input cost headwind for H2. ARR recurring software growing high single digits; services decelerating as customers defer non-urgent spend.</w:t>
      </w:r>
    </w:p>
    <w:p>
      <w:pPr>
        <w:pStyle w:val="ListBullet"/>
        <w:ind w:left="360" w:hanging="360"/>
      </w:pPr>
      <w:r>
        <w:rPr>
          <w:rFonts w:ascii="Calibri" w:hAnsi="Calibri"/>
          <w:b/>
          <w:color w:val="525866"/>
          <w:sz w:val="22"/>
        </w:rPr>
        <w:t>June 11, 2026 — Wells Fargo Conference:</w:t>
      </w:r>
      <w:r>
        <w:rPr>
          <w:rFonts w:ascii="Calibri" w:hAnsi="Calibri"/>
          <w:color w:val="525866"/>
          <w:sz w:val="22"/>
        </w:rPr>
        <w:t xml:space="preserve"> Management explicitly guided Q3 Software &amp; Control margins lower than Q2's 34.9% due to memory chip cost inflation ("double-digit million dollar" H2 headwind). Reaffirmed full-year S&amp;C margin expansion of "several hundred basis points" year-over-year. Energy end market outlook raised to high single-digit growth for the full year. Data center revenue could reach ~5% of total revenue "in the not too distant future" from current low single digits.</w:t>
      </w:r>
    </w:p>
    <w:p>
      <w:pPr>
        <w:pStyle w:val="ListBullet"/>
        <w:ind w:left="360" w:hanging="360"/>
      </w:pPr>
      <w:r>
        <w:rPr>
          <w:rFonts w:ascii="Calibri" w:hAnsi="Calibri"/>
          <w:b/>
          <w:color w:val="525866"/>
          <w:sz w:val="22"/>
        </w:rPr>
        <w:t>July 24–25, 2026 — New Tariff Round (Section 301):</w:t>
      </w:r>
      <w:r>
        <w:rPr>
          <w:rFonts w:ascii="Calibri" w:hAnsi="Calibri"/>
          <w:color w:val="525866"/>
          <w:sz w:val="22"/>
        </w:rPr>
        <w:t xml:space="preserve"> The Trump administration imposed new 10–12.5% tariffs on imports from 60 trading partners under Section 301 of the Trade Act, replacing the temporary 10% global tariff that expired July 24. ROK has guided to 100 bps of tariff-related pricing for FY2026 and has implemented corresponding price increases. The new tariff regime is more durable legally than the IIPA tariffs struck down by the Supreme Court in February, reducing uncertainty. </w:t>
      </w:r>
    </w:p>
    <w:p>
      <w:pPr>
        <w:pStyle w:val="ListBullet"/>
        <w:ind w:left="360" w:hanging="360"/>
      </w:pPr>
      <w:r>
        <w:rPr>
          <w:rFonts w:ascii="Calibri" w:hAnsi="Calibri"/>
          <w:b/>
          <w:color w:val="525866"/>
          <w:sz w:val="22"/>
        </w:rPr>
        <w:t>July 30–31, 2026 — Eaton (ETN) Q2 2026 Earnings Beat &amp; Raise:</w:t>
      </w:r>
      <w:r>
        <w:rPr>
          <w:rFonts w:ascii="Calibri" w:hAnsi="Calibri"/>
          <w:color w:val="525866"/>
          <w:sz w:val="22"/>
        </w:rPr>
        <w:t xml:space="preserve"> ETN reported Q2 EPS of $3.15 vs. consensus $3.08; organic sales +14% vs. consensus +9.7%. Raised full-year organic growth guidance to 11–13% from 9–11%. Machine OEM orders up "mid-30s%" on a rolling 12-month basis. Strong positive read-through for ROK's Intelligent Devices segment. (See Peer Commentary section for full analysis.)</w:t>
      </w:r>
    </w:p>
    <w:p>
      <w:pPr>
        <w:pStyle w:val="ListBullet"/>
        <w:ind w:left="360" w:hanging="360"/>
      </w:pPr>
      <w:r>
        <w:rPr>
          <w:rFonts w:ascii="Calibri" w:hAnsi="Calibri"/>
          <w:b/>
          <w:color w:val="525866"/>
          <w:sz w:val="22"/>
        </w:rPr>
        <w:t>July 23, 2026 — Honeywell Technologies (HON) Q2 2026 Earnings Beat &amp; Raise:</w:t>
      </w:r>
      <w:r>
        <w:rPr>
          <w:rFonts w:ascii="Calibri" w:hAnsi="Calibri"/>
          <w:color w:val="525866"/>
          <w:sz w:val="22"/>
        </w:rPr>
        <w:t xml:space="preserve"> HON reported adjusted Q2 EPS of $1.95 vs. consensus $1.82; sales of $5.2B up 4% comparable. Industrial Automation orders grew 11% with sensing/measurement orders up 20%+. Raised full-year EPS guidance by $0.10 to $8.20 midpoint. Positive read-through for short-cycle industrial automation demand. (See Peer Commentary section.)</w:t>
      </w:r>
    </w:p>
    <w:p>
      <w:pPr>
        <w:pStyle w:val="ListBullet"/>
        <w:ind w:left="360" w:hanging="360"/>
      </w:pPr>
      <w:r>
        <w:rPr>
          <w:rFonts w:ascii="Calibri" w:hAnsi="Calibri"/>
          <w:b/>
          <w:color w:val="525866"/>
          <w:sz w:val="22"/>
        </w:rPr>
        <w:t>July 30, 2026 — Trane Technologies (TT) Q2 2026 Beat &amp; Raise:</w:t>
      </w:r>
      <w:r>
        <w:rPr>
          <w:rFonts w:ascii="Calibri" w:hAnsi="Calibri"/>
          <w:color w:val="525866"/>
          <w:sz w:val="22"/>
        </w:rPr>
        <w:t xml:space="preserve"> TT reported Q2 EPS of $4.31 vs. consensus $4.26; organic revenue +9% vs. consensus +5.25%. Bookings surged 37%, including American Commercial HVAC bookings up 50%. Raised full-year organic growth guidance to 9% from 7%. Indirect positive read-through for broad industrial demand environment.</w:t>
      </w:r>
    </w:p>
    <w:p>
      <w:pPr>
        <w:pStyle w:val="ListBullet"/>
        <w:ind w:left="360" w:hanging="360"/>
      </w:pPr>
      <w:r>
        <w:rPr>
          <w:rFonts w:ascii="Calibri" w:hAnsi="Calibri"/>
          <w:b/>
          <w:color w:val="525866"/>
          <w:sz w:val="22"/>
        </w:rPr>
        <w:t>July 30, 2026 — Ingersoll Rand (IR) Q2 2026 Results:</w:t>
      </w:r>
      <w:r>
        <w:rPr>
          <w:rFonts w:ascii="Calibri" w:hAnsi="Calibri"/>
          <w:color w:val="525866"/>
          <w:sz w:val="22"/>
        </w:rPr>
        <w:t xml:space="preserve"> IR reported modest upside on EPS and revenue; raised full-year revenue guidance to +4.5–6.5% from +2.5–4.5%. EBITDA margins fell short and implied EBITDA margin outlook was trimmed. Mixed read-through — top-line demand improving but margin execution more challenging.</w:t>
      </w:r>
    </w:p>
    <w:p>
      <w:pPr>
        <w:pStyle w:val="ListBullet"/>
        <w:ind w:left="360" w:hanging="360"/>
      </w:pPr>
      <w:r>
        <w:rPr>
          <w:rFonts w:ascii="Calibri" w:hAnsi="Calibri"/>
          <w:b/>
          <w:color w:val="525866"/>
          <w:sz w:val="22"/>
        </w:rPr>
        <w:t>July 28, 2026 — Carrier Global (CARR) Q2 2026 Beat &amp; Raise:</w:t>
      </w:r>
      <w:r>
        <w:rPr>
          <w:rFonts w:ascii="Calibri" w:hAnsi="Calibri"/>
          <w:color w:val="525866"/>
          <w:sz w:val="22"/>
        </w:rPr>
        <w:t xml:space="preserve"> CARR reported Q2 EPS of $0.86 vs. consensus $0.82; organic sales +3% vs. consensus -2%. Total orders up ~40%, commercial HVAC orders up ~65%, data center orders up 300%+. Raised full-year EPS guidance to $2.90 from $2.80. Strong data center demand read-through for ROK.</w:t>
      </w:r>
    </w:p>
    <w:p>
      <w:pPr>
        <w:pStyle w:val="ListBullet"/>
        <w:ind w:left="360" w:hanging="360"/>
      </w:pPr>
      <w:r>
        <w:rPr>
          <w:rFonts w:ascii="Calibri" w:hAnsi="Calibri"/>
          <w:b/>
          <w:color w:val="525866"/>
          <w:sz w:val="22"/>
        </w:rPr>
        <w:t>July 30, 2026 — China Manufacturing PMI Contraction:</w:t>
      </w:r>
      <w:r>
        <w:rPr>
          <w:rFonts w:ascii="Calibri" w:hAnsi="Calibri"/>
          <w:color w:val="525866"/>
          <w:sz w:val="22"/>
        </w:rPr>
        <w:t xml:space="preserve"> China's official manufacturing PMI fell to 49.2 in July from 50.3 in June, signaling contraction for the first time in five months. Extreme weather cited as a contributing factor. ROK's Asia Pacific exposure is meaningful but not dominant; the contraction is a watch item for Q4 FY2026 and FY2027 rather than an immediate Q3 risk.</w:t>
      </w:r>
    </w:p>
    <w:p>
      <w:pPr>
        <w:pStyle w:val="ListBullet"/>
        <w:ind w:left="360" w:hanging="360"/>
      </w:pPr>
      <w:r>
        <w:rPr>
          <w:rFonts w:ascii="Calibri" w:hAnsi="Calibri"/>
          <w:b/>
          <w:color w:val="525866"/>
          <w:sz w:val="22"/>
        </w:rPr>
        <w:t>July 23, 2026 — United Rentals (URI) Q2 2026 Beat &amp; Raise:</w:t>
      </w:r>
      <w:r>
        <w:rPr>
          <w:rFonts w:ascii="Calibri" w:hAnsi="Calibri"/>
          <w:color w:val="525866"/>
          <w:sz w:val="22"/>
        </w:rPr>
        <w:t xml:space="preserve"> URI reported Q2 sales of $4.41B vs. consensus $4.21B; EBITDA of $2.056B vs. consensus $1.91B. Raised full-year EBITDA guidance to $7.975–8.125B. Management stated "customers remaining optimistic about large projects." Positive read-through for industrial CapEx environment.</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All insider activity since the Q2 print consists of planned 10b5-1 sales — no discretionary open-market selling and no open-market buying. The absence of discretionary selling by senior leadership (CEO, CFO) is a mild positive signal; the 10b5-1 sales are routine and obligation-driven.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Terry L. Riesterer</w:t>
            </w:r>
          </w:p>
        </w:tc>
        <w:tc>
          <w:tcPr>
            <w:tcW w:type="dxa" w:w="1440"/>
          </w:tcPr>
          <w:p>
            <w:r>
              <w:rPr>
                <w:rFonts w:ascii="Calibri" w:hAnsi="Calibri"/>
                <w:sz w:val="22"/>
              </w:rPr>
              <w:t>VP &amp; Controller</w:t>
            </w:r>
          </w:p>
        </w:tc>
        <w:tc>
          <w:tcPr>
            <w:tcW w:type="dxa" w:w="1440"/>
          </w:tcPr>
          <w:p>
            <w:r>
              <w:rPr>
                <w:rFonts w:ascii="Calibri" w:hAnsi="Calibri"/>
                <w:sz w:val="22"/>
              </w:rPr>
              <w:t>10b5-1 Planned Sale</w:t>
            </w:r>
          </w:p>
        </w:tc>
        <w:tc>
          <w:tcPr>
            <w:tcW w:type="dxa" w:w="1440"/>
          </w:tcPr>
          <w:p>
            <w:r>
              <w:rPr>
                <w:rFonts w:ascii="Calibri" w:hAnsi="Calibri"/>
                <w:sz w:val="22"/>
              </w:rPr>
              <w:t>281 shares</w:t>
            </w:r>
          </w:p>
        </w:tc>
        <w:tc>
          <w:tcPr>
            <w:tcW w:type="dxa" w:w="1440"/>
          </w:tcPr>
          <w:p>
            <w:r>
              <w:rPr>
                <w:rFonts w:ascii="Calibri" w:hAnsi="Calibri"/>
                <w:sz w:val="22"/>
              </w:rPr>
              <w:t>July 16, 2026</w:t>
            </w:r>
          </w:p>
        </w:tc>
        <w:tc>
          <w:tcPr>
            <w:tcW w:type="dxa" w:w="1440"/>
          </w:tcPr>
          <w:p>
            <w:r>
              <w:rPr>
                <w:rFonts w:ascii="Calibri" w:hAnsi="Calibri"/>
                <w:sz w:val="22"/>
              </w:rPr>
              <w:t>Pre-planned 10b5-1 sale; routine</w:t>
            </w:r>
          </w:p>
        </w:tc>
      </w:tr>
      <w:tr>
        <w:tc>
          <w:tcPr>
            <w:tcW w:type="dxa" w:w="1440"/>
          </w:tcPr>
          <w:p>
            <w:r>
              <w:rPr>
                <w:rFonts w:ascii="Calibri" w:hAnsi="Calibri"/>
                <w:sz w:val="22"/>
              </w:rPr>
              <w:t>Matthew W. Fordenwalt</w:t>
            </w:r>
          </w:p>
        </w:tc>
        <w:tc>
          <w:tcPr>
            <w:tcW w:type="dxa" w:w="1440"/>
          </w:tcPr>
          <w:p>
            <w:r>
              <w:rPr>
                <w:rFonts w:ascii="Calibri" w:hAnsi="Calibri"/>
                <w:sz w:val="22"/>
              </w:rPr>
              <w:t>SVP, Lifecycle Services</w:t>
            </w:r>
          </w:p>
        </w:tc>
        <w:tc>
          <w:tcPr>
            <w:tcW w:type="dxa" w:w="1440"/>
          </w:tcPr>
          <w:p>
            <w:r>
              <w:rPr>
                <w:rFonts w:ascii="Calibri" w:hAnsi="Calibri"/>
                <w:sz w:val="22"/>
              </w:rPr>
              <w:t>10b5-1 Planned Sale</w:t>
            </w:r>
          </w:p>
        </w:tc>
        <w:tc>
          <w:tcPr>
            <w:tcW w:type="dxa" w:w="1440"/>
          </w:tcPr>
          <w:p>
            <w:r>
              <w:rPr>
                <w:rFonts w:ascii="Calibri" w:hAnsi="Calibri"/>
                <w:sz w:val="22"/>
              </w:rPr>
              <w:t>377 shares</w:t>
            </w:r>
          </w:p>
        </w:tc>
        <w:tc>
          <w:tcPr>
            <w:tcW w:type="dxa" w:w="1440"/>
          </w:tcPr>
          <w:p>
            <w:r>
              <w:rPr>
                <w:rFonts w:ascii="Calibri" w:hAnsi="Calibri"/>
                <w:sz w:val="22"/>
              </w:rPr>
              <w:t>June 4, 2026</w:t>
            </w:r>
          </w:p>
        </w:tc>
        <w:tc>
          <w:tcPr>
            <w:tcW w:type="dxa" w:w="1440"/>
          </w:tcPr>
          <w:p>
            <w:r>
              <w:rPr>
                <w:rFonts w:ascii="Calibri" w:hAnsi="Calibri"/>
                <w:sz w:val="22"/>
              </w:rPr>
              <w:t>Pre-planned 10b5-1 sale; routine</w:t>
            </w:r>
          </w:p>
        </w:tc>
      </w:tr>
      <w:tr>
        <w:tc>
          <w:tcPr>
            <w:tcW w:type="dxa" w:w="1440"/>
          </w:tcPr>
          <w:p>
            <w:r>
              <w:rPr>
                <w:rFonts w:ascii="Calibri" w:hAnsi="Calibri"/>
                <w:sz w:val="22"/>
              </w:rPr>
              <w:t>Terry L. Riesterer</w:t>
            </w:r>
          </w:p>
        </w:tc>
        <w:tc>
          <w:tcPr>
            <w:tcW w:type="dxa" w:w="1440"/>
          </w:tcPr>
          <w:p>
            <w:r>
              <w:rPr>
                <w:rFonts w:ascii="Calibri" w:hAnsi="Calibri"/>
                <w:sz w:val="22"/>
              </w:rPr>
              <w:t>VP &amp; Controller</w:t>
            </w:r>
          </w:p>
        </w:tc>
        <w:tc>
          <w:tcPr>
            <w:tcW w:type="dxa" w:w="1440"/>
          </w:tcPr>
          <w:p>
            <w:r>
              <w:rPr>
                <w:rFonts w:ascii="Calibri" w:hAnsi="Calibri"/>
                <w:sz w:val="22"/>
              </w:rPr>
              <w:t>Open Market Sale</w:t>
            </w:r>
          </w:p>
        </w:tc>
        <w:tc>
          <w:tcPr>
            <w:tcW w:type="dxa" w:w="1440"/>
          </w:tcPr>
          <w:p>
            <w:r>
              <w:rPr>
                <w:rFonts w:ascii="Calibri" w:hAnsi="Calibri"/>
                <w:sz w:val="22"/>
              </w:rPr>
              <w:t>4,024 shares</w:t>
            </w:r>
          </w:p>
        </w:tc>
        <w:tc>
          <w:tcPr>
            <w:tcW w:type="dxa" w:w="1440"/>
          </w:tcPr>
          <w:p>
            <w:r>
              <w:rPr>
                <w:rFonts w:ascii="Calibri" w:hAnsi="Calibri"/>
                <w:sz w:val="22"/>
              </w:rPr>
              <w:t>May 7, 2026</w:t>
            </w:r>
          </w:p>
        </w:tc>
        <w:tc>
          <w:tcPr>
            <w:tcW w:type="dxa" w:w="1440"/>
          </w:tcPr>
          <w:p>
            <w:r>
              <w:rPr>
                <w:rFonts w:ascii="Calibri" w:hAnsi="Calibri"/>
                <w:sz w:val="22"/>
              </w:rPr>
              <w:t>Discretionary sale; executed day after Q2 earnings; reduced holdings to 134 shares (significant reduction)</w:t>
            </w:r>
          </w:p>
        </w:tc>
      </w:tr>
      <w:tr>
        <w:tc>
          <w:tcPr>
            <w:tcW w:type="dxa" w:w="1440"/>
          </w:tcPr>
          <w:p>
            <w:r>
              <w:rPr>
                <w:rFonts w:ascii="Calibri" w:hAnsi="Calibri"/>
                <w:sz w:val="22"/>
              </w:rPr>
              <w:t>Matthew W. Fordenwalt</w:t>
            </w:r>
          </w:p>
        </w:tc>
        <w:tc>
          <w:tcPr>
            <w:tcW w:type="dxa" w:w="1440"/>
          </w:tcPr>
          <w:p>
            <w:r>
              <w:rPr>
                <w:rFonts w:ascii="Calibri" w:hAnsi="Calibri"/>
                <w:sz w:val="22"/>
              </w:rPr>
              <w:t>SVP, Lifecycle Services</w:t>
            </w:r>
          </w:p>
        </w:tc>
        <w:tc>
          <w:tcPr>
            <w:tcW w:type="dxa" w:w="1440"/>
          </w:tcPr>
          <w:p>
            <w:r>
              <w:rPr>
                <w:rFonts w:ascii="Calibri" w:hAnsi="Calibri"/>
                <w:sz w:val="22"/>
              </w:rPr>
              <w:t>10b5-1 Planned Sale</w:t>
            </w:r>
          </w:p>
        </w:tc>
        <w:tc>
          <w:tcPr>
            <w:tcW w:type="dxa" w:w="1440"/>
          </w:tcPr>
          <w:p>
            <w:r>
              <w:rPr>
                <w:rFonts w:ascii="Calibri" w:hAnsi="Calibri"/>
                <w:sz w:val="22"/>
              </w:rPr>
              <w:t>600 shares</w:t>
            </w:r>
          </w:p>
        </w:tc>
        <w:tc>
          <w:tcPr>
            <w:tcW w:type="dxa" w:w="1440"/>
          </w:tcPr>
          <w:p>
            <w:r>
              <w:rPr>
                <w:rFonts w:ascii="Calibri" w:hAnsi="Calibri"/>
                <w:sz w:val="22"/>
              </w:rPr>
              <w:t>May 5, 2026</w:t>
            </w:r>
          </w:p>
        </w:tc>
        <w:tc>
          <w:tcPr>
            <w:tcW w:type="dxa" w:w="1440"/>
          </w:tcPr>
          <w:p>
            <w:r>
              <w:rPr>
                <w:rFonts w:ascii="Calibri" w:hAnsi="Calibri"/>
                <w:sz w:val="22"/>
              </w:rPr>
              <w:t>Pre-planned 10b5-1 sale on earnings day; routine</w:t>
            </w:r>
          </w:p>
        </w:tc>
      </w:tr>
      <w:tr>
        <w:tc>
          <w:tcPr>
            <w:tcW w:type="dxa" w:w="1440"/>
          </w:tcPr>
          <w:p>
            <w:r>
              <w:rPr>
                <w:rFonts w:ascii="Calibri" w:hAnsi="Calibri"/>
                <w:sz w:val="22"/>
              </w:rPr>
              <w:t>Scott Genereux</w:t>
            </w:r>
          </w:p>
        </w:tc>
        <w:tc>
          <w:tcPr>
            <w:tcW w:type="dxa" w:w="1440"/>
          </w:tcPr>
          <w:p>
            <w:r>
              <w:rPr>
                <w:rFonts w:ascii="Calibri" w:hAnsi="Calibri"/>
                <w:sz w:val="22"/>
              </w:rPr>
              <w:t>SVP, Chief Revenue Officer</w:t>
            </w:r>
          </w:p>
        </w:tc>
        <w:tc>
          <w:tcPr>
            <w:tcW w:type="dxa" w:w="1440"/>
          </w:tcPr>
          <w:p>
            <w:r>
              <w:rPr>
                <w:rFonts w:ascii="Calibri" w:hAnsi="Calibri"/>
                <w:sz w:val="22"/>
              </w:rPr>
              <w:t>10b5-1 Planned Sale</w:t>
            </w:r>
          </w:p>
        </w:tc>
        <w:tc>
          <w:tcPr>
            <w:tcW w:type="dxa" w:w="1440"/>
          </w:tcPr>
          <w:p>
            <w:r>
              <w:rPr>
                <w:rFonts w:ascii="Calibri" w:hAnsi="Calibri"/>
                <w:sz w:val="22"/>
              </w:rPr>
              <w:t>550 shares</w:t>
            </w:r>
          </w:p>
        </w:tc>
        <w:tc>
          <w:tcPr>
            <w:tcW w:type="dxa" w:w="1440"/>
          </w:tcPr>
          <w:p>
            <w:r>
              <w:rPr>
                <w:rFonts w:ascii="Calibri" w:hAnsi="Calibri"/>
                <w:sz w:val="22"/>
              </w:rPr>
              <w:t>May 5, 2026</w:t>
            </w:r>
          </w:p>
        </w:tc>
        <w:tc>
          <w:tcPr>
            <w:tcW w:type="dxa" w:w="1440"/>
          </w:tcPr>
          <w:p>
            <w:r>
              <w:rPr>
                <w:rFonts w:ascii="Calibri" w:hAnsi="Calibri"/>
                <w:sz w:val="22"/>
              </w:rPr>
              <w:t>Pre-planned 10b5-1 sale on earnings day; routine</w:t>
            </w:r>
          </w:p>
        </w:tc>
      </w:tr>
      <w:tr>
        <w:tc>
          <w:tcPr>
            <w:tcW w:type="dxa" w:w="1440"/>
          </w:tcPr>
          <w:p>
            <w:r>
              <w:rPr>
                <w:rFonts w:ascii="Calibri" w:hAnsi="Calibri"/>
                <w:sz w:val="22"/>
              </w:rPr>
              <w:t>Christopher Nardecchia</w:t>
            </w:r>
          </w:p>
        </w:tc>
        <w:tc>
          <w:tcPr>
            <w:tcW w:type="dxa" w:w="1440"/>
          </w:tcPr>
          <w:p>
            <w:r>
              <w:rPr>
                <w:rFonts w:ascii="Calibri" w:hAnsi="Calibri"/>
                <w:sz w:val="22"/>
              </w:rPr>
              <w:t>SVP, Chief Information Officer</w:t>
            </w:r>
          </w:p>
        </w:tc>
        <w:tc>
          <w:tcPr>
            <w:tcW w:type="dxa" w:w="1440"/>
          </w:tcPr>
          <w:p>
            <w:r>
              <w:rPr>
                <w:rFonts w:ascii="Calibri" w:hAnsi="Calibri"/>
                <w:sz w:val="22"/>
              </w:rPr>
              <w:t>10b5-1 Planned Sale</w:t>
            </w:r>
          </w:p>
        </w:tc>
        <w:tc>
          <w:tcPr>
            <w:tcW w:type="dxa" w:w="1440"/>
          </w:tcPr>
          <w:p>
            <w:r>
              <w:rPr>
                <w:rFonts w:ascii="Calibri" w:hAnsi="Calibri"/>
                <w:sz w:val="22"/>
              </w:rPr>
              <w:t>2,538 shares</w:t>
            </w:r>
          </w:p>
        </w:tc>
        <w:tc>
          <w:tcPr>
            <w:tcW w:type="dxa" w:w="1440"/>
          </w:tcPr>
          <w:p>
            <w:r>
              <w:rPr>
                <w:rFonts w:ascii="Calibri" w:hAnsi="Calibri"/>
                <w:sz w:val="22"/>
              </w:rPr>
              <w:t>May 5, 2026</w:t>
            </w:r>
          </w:p>
        </w:tc>
        <w:tc>
          <w:tcPr>
            <w:tcW w:type="dxa" w:w="1440"/>
          </w:tcPr>
          <w:p>
            <w:r>
              <w:rPr>
                <w:rFonts w:ascii="Calibri" w:hAnsi="Calibri"/>
                <w:sz w:val="22"/>
              </w:rPr>
              <w:t>Pre-planned 10b5-1 sale on earnings day; routine</w:t>
            </w:r>
          </w:p>
        </w:tc>
      </w:tr>
    </w:tbl>
    <w:p>
      <w:r>
        <w:rPr>
          <w:rFonts w:ascii="Calibri" w:hAnsi="Calibri"/>
          <w:b/>
          <w:color w:val="525866"/>
          <w:sz w:val="22"/>
        </w:rPr>
        <w:t xml:space="preserve">Analysis: </w:t>
      </w:r>
      <w:r>
        <w:rPr>
          <w:rFonts w:ascii="Calibri" w:hAnsi="Calibri"/>
          <w:color w:val="525866"/>
          <w:sz w:val="22"/>
        </w:rPr>
        <w:t>The most notable transaction is Riesterer's open-market sale of 4,024 shares on May 7 (the day after the Q2 earnings surge), which reduced his holdings to just 134 shares — a significant reduction. However, this is a VP-level controller, not a C-suite principal, and the timing (post-earnings, at a multi-year high) is consistent with opportunistic liquidity rather than a negative signal on fundamentals. No CEO, CFO, or board-level discretionary selling has occurred since the Q2 print. The absence of any open-market buying is unremarkable given the stock's strong run.</w:t>
      </w:r>
    </w:p>
    <w:p>
      <w:r>
        <w:rPr>
          <w:rFonts w:ascii="Calibri" w:hAnsi="Calibri"/>
          <w:color w:val="525866"/>
          <w:sz w:val="22"/>
        </w:rPr>
        <w:t>Source: SEC Form 4 Filings Database (Insider Transaction Data).</w:t>
      </w:r>
    </w:p>
    <w:p>
      <w:r>
        <w:br w:type="page"/>
      </w:r>
    </w:p>
    <w:p>
      <w:pPr>
        <w:pStyle w:val="Heading2"/>
      </w:pPr>
      <w:r>
        <w:rPr>
          <w:rFonts w:ascii="Calibri" w:hAnsi="Calibri"/>
          <w:b/>
          <w:color w:val="3B4259"/>
          <w:sz w:val="28"/>
        </w:rPr>
        <w:t>8. Peer Commentary &amp; Read-Throughs (Last 60 Days)</w:t>
      </w:r>
    </w:p>
    <w:p>
      <w:r>
        <w:rPr>
          <w:rFonts w:ascii="Calibri" w:hAnsi="Calibri"/>
          <w:b/>
          <w:color w:val="525866"/>
          <w:sz w:val="22"/>
        </w:rPr>
        <w:t xml:space="preserve">Key Takeaway: </w:t>
      </w:r>
      <w:r>
        <w:rPr>
          <w:rFonts w:ascii="Calibri" w:hAnsi="Calibri"/>
          <w:color w:val="525866"/>
          <w:sz w:val="22"/>
        </w:rPr>
        <w:t>Peer commentary since ROK's May 5 Q2 earnings is broadly constructive for Q3: Eaton's Machine OEM order surge (+mid-30s%), Honeywell's industrial automation recovery, and Carrier's data center order explosion (+300%) all point to healthy demand in ROK's core end markets. The one nuance is that peers with more process/long-cycle exposure (HON Process Automation) are seeing stronger order growth than short-cycle industrial, which is consistent with ROK's own guidance that automotive and F&amp;B CapEx has not yet broadly unlocked.</w:t>
      </w:r>
    </w:p>
    <w:p>
      <w:r>
        <w:rPr>
          <w:rFonts w:ascii="Calibri" w:hAnsi="Calibri"/>
          <w:b/>
          <w:color w:val="525866"/>
          <w:sz w:val="22"/>
        </w:rPr>
        <w:t xml:space="preserve">Screening Criteria Applied: </w:t>
      </w:r>
      <w:r>
        <w:rPr>
          <w:rFonts w:ascii="Calibri" w:hAnsi="Calibri"/>
          <w:color w:val="525866"/>
          <w:sz w:val="22"/>
        </w:rPr>
        <w:t>Only forward-looking commentary made after May 5, 2026 (ROK's last earnings date) is included. Commentary is limited to peers' then-current or forward reporting periods (i.e., Q2 CY2026 results and H2 2026 / 2027 outlook). Retrospective commentary about completed prior quarters has been excluded. Peers included: Eaton (ETN), Honeywell Technologies (HON), Trane Technologies (TT), Carrier Global (CARR), Ingersoll Rand (IR), United Rentals (URI), and Honeywell's June 2026 Investor Day / Guidance Update Call.</w:t>
      </w:r>
    </w:p>
    <w:p>
      <w:pPr>
        <w:pStyle w:val="Heading3"/>
      </w:pPr>
      <w:r>
        <w:rPr>
          <w:rFonts w:ascii="Calibri" w:hAnsi="Calibri"/>
          <w:b/>
          <w:color w:val="3B4259"/>
          <w:sz w:val="24"/>
        </w:rPr>
        <w:t>8.1 Eaton Corporation (ETN) — Q2 CY2026 Earnings (July 31, 2026)</w:t>
      </w:r>
    </w:p>
    <w:p>
      <w:r>
        <w:rPr>
          <w:rFonts w:ascii="Calibri" w:hAnsi="Calibri"/>
          <w:b/>
          <w:color w:val="525866"/>
          <w:sz w:val="22"/>
        </w:rPr>
        <w:t xml:space="preserve">Read-Through Type: </w:t>
      </w:r>
      <w:r>
        <w:rPr>
          <w:rFonts w:ascii="Calibri" w:hAnsi="Calibri"/>
          <w:color w:val="525866"/>
          <w:sz w:val="22"/>
        </w:rPr>
        <w:t>Direct — ETN is a direct competitor in industrial controls, power distribution, and machine automation. Machine OEM is a core shared end market.</w:t>
      </w:r>
    </w:p>
    <w:p>
      <w:r>
        <w:rPr>
          <w:rFonts w:ascii="Calibri" w:hAnsi="Calibri"/>
          <w:color w:val="525866"/>
          <w:sz w:val="22"/>
        </w:rPr>
        <w:t>ETN reported Q2 CY2026 EPS of $3.15 vs. consensus $3.08, with organic sales growth of 14% vs. consensus 9.7% — a massive beat driven by Electrical Americas and Electrical Global. The company raised full-year organic growth guidance to 11–13% from 9–11% and raised EPS guidance to $13.40–13.60 from $13.05–13.50.</w:t>
      </w:r>
    </w:p>
    <w:p>
      <w:pPr>
        <w:pStyle w:val="ListBullet"/>
        <w:ind w:left="360" w:hanging="360"/>
      </w:pPr>
      <w:r>
        <w:rPr>
          <w:rFonts w:ascii="Calibri" w:hAnsi="Calibri"/>
          <w:b/>
          <w:color w:val="525866"/>
          <w:sz w:val="22"/>
        </w:rPr>
        <w:t>Machine OEM orders surged "mid-30s%" on a rolling 12-month basis</w:t>
      </w:r>
      <w:r>
        <w:rPr>
          <w:rFonts w:ascii="Calibri" w:hAnsi="Calibri"/>
          <w:color w:val="525866"/>
          <w:sz w:val="22"/>
        </w:rPr>
        <w:t xml:space="preserve"> — this is the single most important read-through for ROK. Machine OEMs are a core customer segment for ROK's Intelligent Devices and Software &amp; Control segments. ETN's mid-30s order growth in this vertical is consistent with ROK's own Q2 commentary that machine builder demand was recovering strongly, and suggests the trend has continued into Q3.</w:t>
      </w:r>
    </w:p>
    <w:p>
      <w:pPr>
        <w:pStyle w:val="ListBullet"/>
        <w:ind w:left="360" w:hanging="360"/>
      </w:pPr>
      <w:r>
        <w:rPr>
          <w:rFonts w:ascii="Calibri" w:hAnsi="Calibri"/>
          <w:b/>
          <w:color w:val="525866"/>
          <w:sz w:val="22"/>
        </w:rPr>
        <w:t>Total company book-to-bill of 1.2, with Electrical Americas at 1.3</w:t>
      </w:r>
      <w:r>
        <w:rPr>
          <w:rFonts w:ascii="Calibri" w:hAnsi="Calibri"/>
          <w:color w:val="525866"/>
          <w:sz w:val="22"/>
        </w:rPr>
        <w:t xml:space="preserve"> — ETN's expanding backlog and accelerating order growth across commercial, institutional, utility, and industrial end markets (all "mid-to-high teens") suggest broad-based industrial demand that should benefit ROK's order book.</w:t>
      </w:r>
    </w:p>
    <w:p>
      <w:pPr>
        <w:pStyle w:val="ListBullet"/>
        <w:ind w:left="360" w:hanging="360"/>
      </w:pPr>
      <w:r>
        <w:rPr>
          <w:rFonts w:ascii="Calibri" w:hAnsi="Calibri"/>
          <w:b/>
          <w:color w:val="525866"/>
          <w:sz w:val="22"/>
        </w:rPr>
        <w:t>Data center organic revenues up 65% in Q2</w:t>
      </w:r>
      <w:r>
        <w:rPr>
          <w:rFonts w:ascii="Calibri" w:hAnsi="Calibri"/>
          <w:color w:val="525866"/>
          <w:sz w:val="22"/>
        </w:rPr>
        <w:t xml:space="preserve"> vs. underlying market growth of 23% — ETN is gaining share in data centers. ROK's data center exposure (currently low single-digit % of revenue, targeting ~5%) is growing "strong double digits" per management. ETN's commentary on 307 GW of U.S. data center backlog ("15 years of backlog at 2025 build rates") confirms the durability of this demand driver for ROK.</w:t>
      </w:r>
    </w:p>
    <w:p>
      <w:pPr>
        <w:pStyle w:val="ListBullet"/>
        <w:ind w:left="360" w:hanging="360"/>
      </w:pPr>
      <w:r>
        <w:rPr>
          <w:rFonts w:ascii="Calibri" w:hAnsi="Calibri"/>
          <w:b/>
          <w:color w:val="525866"/>
          <w:sz w:val="22"/>
        </w:rPr>
        <w:t>Tariff impact "immaterial" for H2 2026</w:t>
      </w:r>
      <w:r>
        <w:rPr>
          <w:rFonts w:ascii="Calibri" w:hAnsi="Calibri"/>
          <w:color w:val="525866"/>
          <w:sz w:val="22"/>
        </w:rPr>
        <w:t xml:space="preserve"> — ETN confirmed that tariff refunds and impacts are already embedded in guidance and are less than $3M in Q2. This is consistent with ROK's own tariff-neutral posture and suggests the new Section 301 tariff regime is manageable for the sector.</w:t>
      </w:r>
    </w:p>
    <w:p>
      <w:pPr>
        <w:pStyle w:val="ListBullet"/>
        <w:ind w:left="360" w:hanging="360"/>
      </w:pPr>
      <w:r>
        <w:rPr>
          <w:rFonts w:ascii="Calibri" w:hAnsi="Calibri"/>
          <w:b/>
          <w:color w:val="525866"/>
          <w:sz w:val="22"/>
        </w:rPr>
        <w:t>Price-cost expected to return to "roughly neutral" in H2 2026</w:t>
      </w:r>
      <w:r>
        <w:rPr>
          <w:rFonts w:ascii="Calibri" w:hAnsi="Calibri"/>
          <w:color w:val="525866"/>
          <w:sz w:val="22"/>
        </w:rPr>
        <w:t xml:space="preserve"> — ETN pulled forward its Q4 price increase to Q3, giving confidence in H2 margin recovery. This is a positive read-through for ROK's own price-cost dynamics, though ROK faces the additional memory chip headwind that ETN does not.</w:t>
      </w:r>
    </w:p>
    <w:p>
      <w:r>
        <w:rPr>
          <w:rFonts w:ascii="Calibri" w:hAnsi="Calibri"/>
          <w:b/>
          <w:color w:val="525866"/>
          <w:sz w:val="22"/>
        </w:rPr>
        <w:t xml:space="preserve">ROK Implication: </w:t>
      </w:r>
      <w:r>
        <w:rPr>
          <w:rFonts w:ascii="Calibri" w:hAnsi="Calibri"/>
          <w:color w:val="525866"/>
          <w:sz w:val="22"/>
        </w:rPr>
        <w:t>ETN's results are the strongest positive read-through in the peer set. The Machine OEM order surge directly validates ROK's Intelligent Devices demand trajectory. The data center commentary confirms the durability of ROK's fastest-growing end market. The tariff and price-cost commentary is consistent with ROK's own guidance.</w:t>
      </w:r>
    </w:p>
    <w:p>
      <w:r>
        <w:rPr>
          <w:rFonts w:ascii="Calibri" w:hAnsi="Calibri"/>
          <w:color w:val="525866"/>
          <w:sz w:val="22"/>
        </w:rPr>
        <w:t>Source: ETN Q2 CY2026 Earnings Call transcript (July 31, 2026); ETN Q2 CY2026 Earnings Release (July 31, 2026).</w:t>
      </w:r>
    </w:p>
    <w:p>
      <w:pPr>
        <w:pStyle w:val="Heading3"/>
      </w:pPr>
      <w:r>
        <w:rPr>
          <w:rFonts w:ascii="Calibri" w:hAnsi="Calibri"/>
          <w:b/>
          <w:color w:val="3B4259"/>
          <w:sz w:val="24"/>
        </w:rPr>
        <w:t>8.2 Honeywell Technologies (HON) — Q2 CY2026 Earnings (July 23, 2026)</w:t>
      </w:r>
    </w:p>
    <w:p>
      <w:r>
        <w:rPr>
          <w:rFonts w:ascii="Calibri" w:hAnsi="Calibri"/>
          <w:b/>
          <w:color w:val="525866"/>
          <w:sz w:val="22"/>
        </w:rPr>
        <w:t xml:space="preserve">Read-Through Type: </w:t>
      </w:r>
      <w:r>
        <w:rPr>
          <w:rFonts w:ascii="Calibri" w:hAnsi="Calibri"/>
          <w:color w:val="525866"/>
          <w:sz w:val="22"/>
        </w:rPr>
        <w:t>Direct — HON competes with ROK in industrial automation, process automation, and building controls. HON's Industrial Automation segment is a direct comp for ROK's Intelligent Devices and Software &amp; Control segments.</w:t>
      </w:r>
    </w:p>
    <w:p>
      <w:r>
        <w:rPr>
          <w:rFonts w:ascii="Calibri" w:hAnsi="Calibri"/>
          <w:color w:val="525866"/>
          <w:sz w:val="22"/>
        </w:rPr>
        <w:t>HON reported Q2 CY2026 adjusted EPS of $1.95 vs. consensus $1.82 (+7.1%); sales of $5.2B up 4% comparable. The company raised full-year EPS guidance by $0.10 to $8.20 midpoint and raised full-year organic growth to 3–4% from 2–3%, with H2 expected to grow 4–6%.</w:t>
      </w:r>
    </w:p>
    <w:p>
      <w:pPr>
        <w:pStyle w:val="ListBullet"/>
        <w:ind w:left="360" w:hanging="360"/>
      </w:pPr>
      <w:r>
        <w:rPr>
          <w:rFonts w:ascii="Calibri" w:hAnsi="Calibri"/>
          <w:b/>
          <w:color w:val="525866"/>
          <w:sz w:val="22"/>
        </w:rPr>
        <w:t>Industrial Automation grew 16% organically in Q2</w:t>
      </w:r>
      <w:r>
        <w:rPr>
          <w:rFonts w:ascii="Calibri" w:hAnsi="Calibri"/>
          <w:color w:val="525866"/>
          <w:sz w:val="22"/>
        </w:rPr>
        <w:t xml:space="preserve"> with broad-based demand; orders grew 11% (7% sequentially), with sensing and industrial measurement orders up 20%+. HON expects "continued momentum in industrial automation in the second half of 2026," with full-year expectations raised from "roughly flat" to "up low single digits." This is a direct positive read-through for ROK's Intelligent Devices segment, which serves many of the same machine builder and factory automation customers.</w:t>
      </w:r>
    </w:p>
    <w:p>
      <w:pPr>
        <w:pStyle w:val="ListBullet"/>
        <w:ind w:left="360" w:hanging="360"/>
      </w:pPr>
      <w:r>
        <w:rPr>
          <w:rFonts w:ascii="Calibri" w:hAnsi="Calibri"/>
          <w:b/>
          <w:color w:val="525866"/>
          <w:sz w:val="22"/>
        </w:rPr>
        <w:t>Short-cycle orders grew double digits across all segments</w:t>
      </w:r>
      <w:r>
        <w:rPr>
          <w:rFonts w:ascii="Calibri" w:hAnsi="Calibri"/>
          <w:color w:val="525866"/>
          <w:sz w:val="22"/>
        </w:rPr>
        <w:t xml:space="preserve"> — HON's total company book-to-bill was 1.1 with ending backlog up 9%. The broad-based short-cycle recovery is consistent with ROK's own Q2 commentary and management's confidence in the Q3 trajectory.</w:t>
      </w:r>
    </w:p>
    <w:p>
      <w:pPr>
        <w:pStyle w:val="ListBullet"/>
        <w:ind w:left="360" w:hanging="360"/>
      </w:pPr>
      <w:r>
        <w:rPr>
          <w:rFonts w:ascii="Calibri" w:hAnsi="Calibri"/>
          <w:b/>
          <w:color w:val="525866"/>
          <w:sz w:val="22"/>
        </w:rPr>
        <w:t>Process Automation orders up 24% organically</w:t>
      </w:r>
      <w:r>
        <w:rPr>
          <w:rFonts w:ascii="Calibri" w:hAnsi="Calibri"/>
          <w:color w:val="525866"/>
          <w:sz w:val="22"/>
        </w:rPr>
        <w:t xml:space="preserve"> led by process technology orders up ~50% — HON expects a "sharp inflection in growth in process automation technology beginning in the third quarter," accelerating to "high single digits in the second half." This is a positive read-through for ROK's Lifecycle Services segment, which serves similar process industry customers.</w:t>
      </w:r>
    </w:p>
    <w:p>
      <w:pPr>
        <w:pStyle w:val="ListBullet"/>
        <w:ind w:left="360" w:hanging="360"/>
      </w:pPr>
      <w:r>
        <w:rPr>
          <w:rFonts w:ascii="Calibri" w:hAnsi="Calibri"/>
          <w:b/>
          <w:color w:val="525866"/>
          <w:sz w:val="22"/>
        </w:rPr>
        <w:t>Inflation described as "persistent" with price at ~3.7% in Q2 and ~4% expected in H2</w:t>
      </w:r>
      <w:r>
        <w:rPr>
          <w:rFonts w:ascii="Calibri" w:hAnsi="Calibri"/>
          <w:color w:val="525866"/>
          <w:sz w:val="22"/>
        </w:rPr>
        <w:t xml:space="preserve"> — HON is managing inflation through pricing and productivity, with segment margin expanding 100 bps in Q2 despite cost headwinds. The specific mention of "electronics memory" as a key inflation driver is a direct read-through for ROK's guided memory chip headwind in Q3.</w:t>
      </w:r>
    </w:p>
    <w:p>
      <w:pPr>
        <w:pStyle w:val="ListBullet"/>
        <w:ind w:left="360" w:hanging="360"/>
      </w:pPr>
      <w:r>
        <w:rPr>
          <w:rFonts w:ascii="Calibri" w:hAnsi="Calibri"/>
          <w:b/>
          <w:color w:val="525866"/>
          <w:sz w:val="22"/>
        </w:rPr>
        <w:t>Data centers growing from "negligible" to 5%+ of Building Automation sales</w:t>
      </w:r>
      <w:r>
        <w:rPr>
          <w:rFonts w:ascii="Calibri" w:hAnsi="Calibri"/>
          <w:color w:val="525866"/>
          <w:sz w:val="22"/>
        </w:rPr>
        <w:t xml:space="preserve"> — HON's data center exposure is growing rapidly across fire detection, building management, and liquid cooling sensing. This confirms the broad-based nature of data center automation demand that benefits ROK.</w:t>
      </w:r>
    </w:p>
    <w:p>
      <w:pPr>
        <w:pStyle w:val="ListBullet"/>
        <w:ind w:left="360" w:hanging="360"/>
      </w:pPr>
      <w:r>
        <w:rPr>
          <w:rFonts w:ascii="Calibri" w:hAnsi="Calibri"/>
          <w:b/>
          <w:color w:val="525866"/>
          <w:sz w:val="22"/>
        </w:rPr>
        <w:t>ARR expected to grow ~15% in 2026</w:t>
      </w:r>
      <w:r>
        <w:rPr>
          <w:rFonts w:ascii="Calibri" w:hAnsi="Calibri"/>
          <w:color w:val="525866"/>
          <w:sz w:val="22"/>
        </w:rPr>
        <w:t xml:space="preserve"> with software growing "~3x the rest of the business" — HON's software ARR momentum is stronger than ROK's guided high single-digit growth, but the directional trend is consistent. Both companies are seeing recurring services decelerate while software ARR accelerates.</w:t>
      </w:r>
    </w:p>
    <w:p>
      <w:r>
        <w:rPr>
          <w:rFonts w:ascii="Calibri" w:hAnsi="Calibri"/>
          <w:b/>
          <w:color w:val="525866"/>
          <w:sz w:val="22"/>
        </w:rPr>
        <w:t xml:space="preserve">ROK Implication: </w:t>
      </w:r>
      <w:r>
        <w:rPr>
          <w:rFonts w:ascii="Calibri" w:hAnsi="Calibri"/>
          <w:color w:val="525866"/>
          <w:sz w:val="22"/>
        </w:rPr>
        <w:t>HON's results validate the short-cycle industrial automation recovery and the data center demand durability. The memory chip inflation commentary is a direct confirmation of ROK's Q3 margin headwind. The process automation order surge is a positive leading indicator for ROK's Lifecycle Services segment, which has been the laggard.</w:t>
      </w:r>
    </w:p>
    <w:p>
      <w:r>
        <w:rPr>
          <w:rFonts w:ascii="Calibri" w:hAnsi="Calibri"/>
          <w:color w:val="525866"/>
          <w:sz w:val="22"/>
        </w:rPr>
        <w:t>Source: HON Q2 CY2026 Earnings Call transcript (July 23, 2026); HON Q2 CY2026 Earnings Release (July 23, 2026).</w:t>
      </w:r>
    </w:p>
    <w:p>
      <w:pPr>
        <w:pStyle w:val="Heading3"/>
      </w:pPr>
      <w:r>
        <w:rPr>
          <w:rFonts w:ascii="Calibri" w:hAnsi="Calibri"/>
          <w:b/>
          <w:color w:val="3B4259"/>
          <w:sz w:val="24"/>
        </w:rPr>
        <w:t>8.3 Honeywell Technologies (HON) — Guidance Update Call &amp; Investor Day (June 8 &amp; June 11, 2026)</w:t>
      </w:r>
    </w:p>
    <w:p>
      <w:r>
        <w:rPr>
          <w:rFonts w:ascii="Calibri" w:hAnsi="Calibri"/>
          <w:b/>
          <w:color w:val="525866"/>
          <w:sz w:val="22"/>
        </w:rPr>
        <w:t xml:space="preserve">Read-Through Type: </w:t>
      </w:r>
      <w:r>
        <w:rPr>
          <w:rFonts w:ascii="Calibri" w:hAnsi="Calibri"/>
          <w:color w:val="525866"/>
          <w:sz w:val="22"/>
        </w:rPr>
        <w:t>Direct — Forward-looking commentary about H2 2026 and multi-year industrial automation market outlook, made after ROK's May 5 earnings.</w:t>
      </w:r>
    </w:p>
    <w:p>
      <w:r>
        <w:rPr>
          <w:rFonts w:ascii="Calibri" w:hAnsi="Calibri"/>
          <w:color w:val="525866"/>
          <w:sz w:val="22"/>
        </w:rPr>
        <w:t>HON held a Guidance Update Call on June 8 and an Investor Day on June 11, providing detailed forward-looking commentary on the industrial automation market for H2 2026 and beyond.</w:t>
      </w:r>
    </w:p>
    <w:p>
      <w:pPr>
        <w:pStyle w:val="ListBullet"/>
        <w:ind w:left="360" w:hanging="360"/>
      </w:pPr>
      <w:r>
        <w:rPr>
          <w:rFonts w:ascii="Calibri" w:hAnsi="Calibri"/>
          <w:b/>
          <w:color w:val="525866"/>
          <w:sz w:val="22"/>
        </w:rPr>
        <w:t>Short-cycle industrial automation recovery continuing in Europe and Asia</w:t>
      </w:r>
      <w:r>
        <w:rPr>
          <w:rFonts w:ascii="Calibri" w:hAnsi="Calibri"/>
          <w:color w:val="525866"/>
          <w:sz w:val="22"/>
        </w:rPr>
        <w:t xml:space="preserve"> — HON raised its full-year Industrial Automation expectations from "down low single digits to flat" to "flat for the year," citing continued short-cycle recovery in Europe and Asia that was previously expected to be a headwind. HON also noted "some reshoring going on that's helping the business grow" and that China "isn't" a drag as previously feared. This is a positive read-through for ROK's European and Asia Pacific demand, which management has cited as a growth contributor.</w:t>
      </w:r>
    </w:p>
    <w:p>
      <w:pPr>
        <w:pStyle w:val="ListBullet"/>
        <w:ind w:left="360" w:hanging="360"/>
      </w:pPr>
      <w:r>
        <w:rPr>
          <w:rFonts w:ascii="Calibri" w:hAnsi="Calibri"/>
          <w:b/>
          <w:color w:val="525866"/>
          <w:sz w:val="22"/>
        </w:rPr>
        <w:t>May quarter-to-date orders "high single digits, potentially double digits"</w:t>
      </w:r>
      <w:r>
        <w:rPr>
          <w:rFonts w:ascii="Calibri" w:hAnsi="Calibri"/>
          <w:color w:val="525866"/>
          <w:sz w:val="22"/>
        </w:rPr>
        <w:t xml:space="preserve"> — HON's strong order intake through May (reported at the June 8 call) is a leading indicator for the Q3 demand environment that ROK is now reporting into. Building Automation orders described as the strongest HON's CFO had seen in 6 years.</w:t>
      </w:r>
    </w:p>
    <w:p>
      <w:pPr>
        <w:pStyle w:val="ListBullet"/>
        <w:ind w:left="360" w:hanging="360"/>
      </w:pPr>
      <w:r>
        <w:rPr>
          <w:rFonts w:ascii="Calibri" w:hAnsi="Calibri"/>
          <w:b/>
          <w:color w:val="525866"/>
          <w:sz w:val="22"/>
        </w:rPr>
        <w:t>Process Automation backlog converting with "significant pickup in H2"</w:t>
      </w:r>
      <w:r>
        <w:rPr>
          <w:rFonts w:ascii="Calibri" w:hAnsi="Calibri"/>
          <w:color w:val="525866"/>
          <w:sz w:val="22"/>
        </w:rPr>
        <w:t xml:space="preserve"> — HON's PA&amp;T business has a "record backlog" that is starting to convert, with customers paying advances and project work picking up significantly in H2 2026. LNG projects are a key driver. This is a positive read-through for ROK's Lifecycle Services capital project pipeline, which management described as "very healthy" in quoting activity despite delayed decision-making.</w:t>
      </w:r>
    </w:p>
    <w:p>
      <w:pPr>
        <w:pStyle w:val="ListBullet"/>
        <w:ind w:left="360" w:hanging="360"/>
      </w:pPr>
      <w:r>
        <w:rPr>
          <w:rFonts w:ascii="Calibri" w:hAnsi="Calibri"/>
          <w:b/>
          <w:color w:val="525866"/>
          <w:sz w:val="22"/>
        </w:rPr>
        <w:t>Pricing at ~4% in Q2 with H2 expected at 3.5–4.5%</w:t>
      </w:r>
      <w:r>
        <w:rPr>
          <w:rFonts w:ascii="Calibri" w:hAnsi="Calibri"/>
          <w:color w:val="525866"/>
          <w:sz w:val="22"/>
        </w:rPr>
        <w:t xml:space="preserve"> — HON's sustained pricing power confirms that the industrial automation sector can pass through cost increases. This is consistent with ROK's 250 bps price guide for FY2026 and supports the view that ROK's tariff-related pricing (100 bps) is achievable.</w:t>
      </w:r>
    </w:p>
    <w:p>
      <w:pPr>
        <w:pStyle w:val="ListBullet"/>
        <w:ind w:left="360" w:hanging="360"/>
      </w:pPr>
      <w:r>
        <w:rPr>
          <w:rFonts w:ascii="Calibri" w:hAnsi="Calibri"/>
          <w:b/>
          <w:color w:val="525866"/>
          <w:sz w:val="22"/>
        </w:rPr>
        <w:t>Automation is a "secular growth market for several decades"</w:t>
      </w:r>
      <w:r>
        <w:rPr>
          <w:rFonts w:ascii="Calibri" w:hAnsi="Calibri"/>
          <w:color w:val="525866"/>
          <w:sz w:val="22"/>
        </w:rPr>
        <w:t xml:space="preserve"> — HON's Investor Day framed the long-term automation market as growing ~3.5% annually, with high-growth verticals (data centers, semiconductor fabs, LNG, life sciences) growing much faster. ROK's exposure to these same verticals is the primary driver of its above-market growth guidance.</w:t>
      </w:r>
    </w:p>
    <w:p>
      <w:r>
        <w:rPr>
          <w:rFonts w:ascii="Calibri" w:hAnsi="Calibri"/>
          <w:b/>
          <w:color w:val="525866"/>
          <w:sz w:val="22"/>
        </w:rPr>
        <w:t xml:space="preserve">ROK Implication: </w:t>
      </w:r>
      <w:r>
        <w:rPr>
          <w:rFonts w:ascii="Calibri" w:hAnsi="Calibri"/>
          <w:color w:val="525866"/>
          <w:sz w:val="22"/>
        </w:rPr>
        <w:t>HON's June commentary provides the most direct forward-looking read-through for ROK's Q3 demand environment. The short-cycle recovery in Europe and Asia, strong order intake through May, and process automation backlog conversion are all consistent with ROK's Q3 guidance of roughly flat sequential sales with Intelligent Devices as the growth driver.</w:t>
      </w:r>
    </w:p>
    <w:p>
      <w:r>
        <w:rPr>
          <w:rFonts w:ascii="Calibri" w:hAnsi="Calibri"/>
          <w:color w:val="525866"/>
          <w:sz w:val="22"/>
        </w:rPr>
        <w:t>Source: HON Guidance Update Call transcript (June 8, 2026); HON Investor Day transcript (June 11, 2026).</w:t>
      </w:r>
    </w:p>
    <w:p>
      <w:pPr>
        <w:pStyle w:val="Heading3"/>
      </w:pPr>
      <w:r>
        <w:rPr>
          <w:rFonts w:ascii="Calibri" w:hAnsi="Calibri"/>
          <w:b/>
          <w:color w:val="3B4259"/>
          <w:sz w:val="24"/>
        </w:rPr>
        <w:t>8.4 Carrier Global (CARR) — Q2 CY2026 Earnings (July 28, 2026)</w:t>
      </w:r>
    </w:p>
    <w:p>
      <w:r>
        <w:rPr>
          <w:rFonts w:ascii="Calibri" w:hAnsi="Calibri"/>
          <w:b/>
          <w:color w:val="525866"/>
          <w:sz w:val="22"/>
        </w:rPr>
        <w:t xml:space="preserve">Read-Through Type: </w:t>
      </w:r>
      <w:r>
        <w:rPr>
          <w:rFonts w:ascii="Calibri" w:hAnsi="Calibri"/>
          <w:color w:val="525866"/>
          <w:sz w:val="22"/>
        </w:rPr>
        <w:t>Indirect — CARR is not a direct competitor to ROK but serves overlapping end markets (data centers, commercial HVAC, industrial). CARR's data center order surge is a strong indirect read-through for ROK's data center demand.</w:t>
      </w:r>
    </w:p>
    <w:p>
      <w:r>
        <w:rPr>
          <w:rFonts w:ascii="Calibri" w:hAnsi="Calibri"/>
          <w:color w:val="525866"/>
          <w:sz w:val="22"/>
        </w:rPr>
        <w:t>CARR reported Q2 CY2026 EPS of $0.86 vs. consensus $0.82; organic sales +3% vs. consensus -2%. Total orders up ~40%, commercial HVAC orders up ~65%, and data center orders up more than 300%. Raised full-year EPS guidance to $2.90 from $2.80 and sales guidance to $23B from $22B.</w:t>
      </w:r>
    </w:p>
    <w:p>
      <w:pPr>
        <w:pStyle w:val="ListBullet"/>
        <w:ind w:left="360" w:hanging="360"/>
      </w:pPr>
      <w:r>
        <w:rPr>
          <w:rFonts w:ascii="Calibri" w:hAnsi="Calibri"/>
          <w:b/>
          <w:color w:val="525866"/>
          <w:sz w:val="22"/>
        </w:rPr>
        <w:t>Data center orders up 300%+</w:t>
      </w:r>
      <w:r>
        <w:rPr>
          <w:rFonts w:ascii="Calibri" w:hAnsi="Calibri"/>
          <w:color w:val="525866"/>
          <w:sz w:val="22"/>
        </w:rPr>
        <w:t xml:space="preserve"> — CARR's data center order explosion confirms the extraordinary pace of data center construction and the associated demand for all automation, controls, and infrastructure products. ROK's data center business "more than doubled" in Q2 and management has guided to continued strong double-digit growth. CARR's commentary validates the durability of this demand.</w:t>
      </w:r>
    </w:p>
    <w:p>
      <w:pPr>
        <w:pStyle w:val="ListBullet"/>
        <w:ind w:left="360" w:hanging="360"/>
      </w:pPr>
      <w:r>
        <w:rPr>
          <w:rFonts w:ascii="Calibri" w:hAnsi="Calibri"/>
          <w:b/>
          <w:color w:val="525866"/>
          <w:sz w:val="22"/>
        </w:rPr>
        <w:t>Residential and light commercial markets improving</w:t>
      </w:r>
      <w:r>
        <w:rPr>
          <w:rFonts w:ascii="Calibri" w:hAnsi="Calibri"/>
          <w:color w:val="525866"/>
          <w:sz w:val="22"/>
        </w:rPr>
        <w:t xml:space="preserve"> — CARR noted improving residential and light commercial demand, which is an indirect positive for broader industrial activity and consumer confidence. This is consistent with ROK's observation that hybrid end markets (food &amp; beverage, life sciences) are showing improvement.</w:t>
      </w:r>
    </w:p>
    <w:p>
      <w:r>
        <w:rPr>
          <w:rFonts w:ascii="Calibri" w:hAnsi="Calibri"/>
          <w:b/>
          <w:color w:val="525866"/>
          <w:sz w:val="22"/>
        </w:rPr>
        <w:t xml:space="preserve">ROK Implication: </w:t>
      </w:r>
      <w:r>
        <w:rPr>
          <w:rFonts w:ascii="Calibri" w:hAnsi="Calibri"/>
          <w:color w:val="525866"/>
          <w:sz w:val="22"/>
        </w:rPr>
        <w:t>CARR's data center order surge is the strongest external validation of ROK's data center growth thesis. The 300%+ order growth confirms that data center construction is accelerating, not decelerating, and that ROK's Logix controllers and power distribution products (via Cubic) are well-positioned to capture this demand.</w:t>
      </w:r>
    </w:p>
    <w:p>
      <w:r>
        <w:rPr>
          <w:rFonts w:ascii="Calibri" w:hAnsi="Calibri"/>
          <w:color w:val="525866"/>
          <w:sz w:val="22"/>
        </w:rPr>
        <w:t>Source: CARR Q2 CY2026 Earnings Release (July 28, 2026); News Digest (July 28, 2026).</w:t>
      </w:r>
    </w:p>
    <w:p>
      <w:pPr>
        <w:pStyle w:val="Heading3"/>
      </w:pPr>
      <w:r>
        <w:rPr>
          <w:rFonts w:ascii="Calibri" w:hAnsi="Calibri"/>
          <w:b/>
          <w:color w:val="3B4259"/>
          <w:sz w:val="24"/>
        </w:rPr>
        <w:t>8.5 Trane Technologies (TT) — Q2 CY2026 Earnings (July 30, 2026)</w:t>
      </w:r>
    </w:p>
    <w:p>
      <w:r>
        <w:rPr>
          <w:rFonts w:ascii="Calibri" w:hAnsi="Calibri"/>
          <w:b/>
          <w:color w:val="525866"/>
          <w:sz w:val="22"/>
        </w:rPr>
        <w:t xml:space="preserve">Read-Through Type: </w:t>
      </w:r>
      <w:r>
        <w:rPr>
          <w:rFonts w:ascii="Calibri" w:hAnsi="Calibri"/>
          <w:color w:val="525866"/>
          <w:sz w:val="22"/>
        </w:rPr>
        <w:t>Indirect — TT serves commercial HVAC and industrial markets with some overlap in building automation and data center infrastructure. The bookings surge is a broad industrial demand signal.</w:t>
      </w:r>
    </w:p>
    <w:p>
      <w:r>
        <w:rPr>
          <w:rFonts w:ascii="Calibri" w:hAnsi="Calibri"/>
          <w:color w:val="525866"/>
          <w:sz w:val="22"/>
        </w:rPr>
        <w:t>TT reported Q2 CY2026 EPS of $4.31 vs. consensus $4.26; organic revenue +9% vs. consensus +5.25%. Bookings surged 37%, including American Commercial HVAC bookings up 50%. Raised full-year organic growth guidance to 9% from 7% and full-year EPS to $15.25 from $14.85.</w:t>
      </w:r>
    </w:p>
    <w:p>
      <w:pPr>
        <w:pStyle w:val="ListBullet"/>
        <w:ind w:left="360" w:hanging="360"/>
      </w:pPr>
      <w:r>
        <w:rPr>
          <w:rFonts w:ascii="Calibri" w:hAnsi="Calibri"/>
          <w:b/>
          <w:color w:val="525866"/>
          <w:sz w:val="22"/>
        </w:rPr>
        <w:t>Bookings surged 37% with American Commercial HVAC up 50%</w:t>
      </w:r>
      <w:r>
        <w:rPr>
          <w:rFonts w:ascii="Calibri" w:hAnsi="Calibri"/>
          <w:color w:val="525866"/>
          <w:sz w:val="22"/>
        </w:rPr>
        <w:t xml:space="preserve"> — TT's extraordinary bookings growth confirms that commercial and industrial construction activity is accelerating. This is an indirect positive for ROK's building automation and industrial controls demand, particularly in the Americas.</w:t>
      </w:r>
    </w:p>
    <w:p>
      <w:pPr>
        <w:pStyle w:val="ListBullet"/>
        <w:ind w:left="360" w:hanging="360"/>
      </w:pPr>
      <w:r>
        <w:rPr>
          <w:rFonts w:ascii="Calibri" w:hAnsi="Calibri"/>
          <w:b/>
          <w:color w:val="525866"/>
          <w:sz w:val="22"/>
        </w:rPr>
        <w:t>Raised full-year organic growth guidance to 9%</w:t>
      </w:r>
      <w:r>
        <w:rPr>
          <w:rFonts w:ascii="Calibri" w:hAnsi="Calibri"/>
          <w:color w:val="525866"/>
          <w:sz w:val="22"/>
        </w:rPr>
        <w:t xml:space="preserve"> — TT's confidence in H2 2026 demand is consistent with the broader industrial peer group's constructive tone. The magnitude of the guidance raise (200 bps at the midpoint) suggests demand is tracking above initial expectations across the industrial sector.</w:t>
      </w:r>
    </w:p>
    <w:p>
      <w:r>
        <w:rPr>
          <w:rFonts w:ascii="Calibri" w:hAnsi="Calibri"/>
          <w:b/>
          <w:color w:val="525866"/>
          <w:sz w:val="22"/>
        </w:rPr>
        <w:t xml:space="preserve">ROK Implication: </w:t>
      </w:r>
      <w:r>
        <w:rPr>
          <w:rFonts w:ascii="Calibri" w:hAnsi="Calibri"/>
          <w:color w:val="525866"/>
          <w:sz w:val="22"/>
        </w:rPr>
        <w:t>TT's results are a broad positive for the industrial demand environment but are less directly relevant to ROK than ETN or HON. The bookings surge confirms that commercial and industrial construction is healthy, which supports ROK's Americas demand trajectory.</w:t>
      </w:r>
    </w:p>
    <w:p>
      <w:r>
        <w:rPr>
          <w:rFonts w:ascii="Calibri" w:hAnsi="Calibri"/>
          <w:color w:val="525866"/>
          <w:sz w:val="22"/>
        </w:rPr>
        <w:t>Source: TT Q2 CY2026 Earnings Release (July 30, 2026); News Digest (July 30, 2026).</w:t>
      </w:r>
    </w:p>
    <w:p>
      <w:pPr>
        <w:pStyle w:val="Heading3"/>
      </w:pPr>
      <w:r>
        <w:rPr>
          <w:rFonts w:ascii="Calibri" w:hAnsi="Calibri"/>
          <w:b/>
          <w:color w:val="3B4259"/>
          <w:sz w:val="24"/>
        </w:rPr>
        <w:t>8.6 Ingersoll Rand (IR) — Q2 CY2026 Earnings (July 30, 2026)</w:t>
      </w:r>
    </w:p>
    <w:p>
      <w:r>
        <w:rPr>
          <w:rFonts w:ascii="Calibri" w:hAnsi="Calibri"/>
          <w:b/>
          <w:color w:val="525866"/>
          <w:sz w:val="22"/>
        </w:rPr>
        <w:t xml:space="preserve">Read-Through Type: </w:t>
      </w:r>
      <w:r>
        <w:rPr>
          <w:rFonts w:ascii="Calibri" w:hAnsi="Calibri"/>
          <w:color w:val="525866"/>
          <w:sz w:val="22"/>
        </w:rPr>
        <w:t>Indirect — IR serves industrial and life sciences end markets with some overlap in factory automation and compressed air/fluid management. The mixed margin result is a nuanced read-through.</w:t>
      </w:r>
    </w:p>
    <w:p>
      <w:r>
        <w:rPr>
          <w:rFonts w:ascii="Calibri" w:hAnsi="Calibri"/>
          <w:color w:val="525866"/>
          <w:sz w:val="22"/>
        </w:rPr>
        <w:t>IR reported modest upside on EPS and revenue; raised full-year revenue guidance to +4.5–6.5% from +2.5–4.5%. However, EBITDA margins fell short and the implied EBITDA margin outlook was trimmed.</w:t>
      </w:r>
    </w:p>
    <w:p>
      <w:pPr>
        <w:pStyle w:val="ListBullet"/>
        <w:ind w:left="360" w:hanging="360"/>
      </w:pPr>
      <w:r>
        <w:rPr>
          <w:rFonts w:ascii="Calibri" w:hAnsi="Calibri"/>
          <w:b/>
          <w:color w:val="525866"/>
          <w:sz w:val="22"/>
        </w:rPr>
        <w:t>Revenue guidance raised but margin outlook trimmed</w:t>
      </w:r>
      <w:r>
        <w:rPr>
          <w:rFonts w:ascii="Calibri" w:hAnsi="Calibri"/>
          <w:color w:val="525866"/>
          <w:sz w:val="22"/>
        </w:rPr>
        <w:t xml:space="preserve"> — IR's mixed result (top-line beat, margin miss) is a nuanced read-through for ROK. It suggests that while demand is improving, cost pressures (consistent with HON's "persistent inflation" commentary) are real and require active management. ROK's guided memory chip headwind in Q3 is consistent with this broader cost pressure theme.</w:t>
      </w:r>
    </w:p>
    <w:p>
      <w:pPr>
        <w:pStyle w:val="ListBullet"/>
        <w:ind w:left="360" w:hanging="360"/>
      </w:pPr>
      <w:r>
        <w:rPr>
          <w:rFonts w:ascii="Calibri" w:hAnsi="Calibri"/>
          <w:b/>
          <w:color w:val="525866"/>
          <w:sz w:val="22"/>
        </w:rPr>
        <w:t>Full-year revenue growth raised to +4.5–6.5%</w:t>
      </w:r>
      <w:r>
        <w:rPr>
          <w:rFonts w:ascii="Calibri" w:hAnsi="Calibri"/>
          <w:color w:val="525866"/>
          <w:sz w:val="22"/>
        </w:rPr>
        <w:t xml:space="preserve"> — IR's top-line improvement is consistent with the broader industrial recovery narrative. However, the margin shortfall is a reminder that volume alone does not guarantee margin expansion — execution on price-cost and productivity is critical.</w:t>
      </w:r>
    </w:p>
    <w:p>
      <w:r>
        <w:rPr>
          <w:rFonts w:ascii="Calibri" w:hAnsi="Calibri"/>
          <w:b/>
          <w:color w:val="525866"/>
          <w:sz w:val="22"/>
        </w:rPr>
        <w:t xml:space="preserve">ROK Implication: </w:t>
      </w:r>
      <w:r>
        <w:rPr>
          <w:rFonts w:ascii="Calibri" w:hAnsi="Calibri"/>
          <w:color w:val="525866"/>
          <w:sz w:val="22"/>
        </w:rPr>
        <w:t>IR's mixed result is a mild caution on the margin side but does not change the demand picture. ROK's more favorable mix (higher software content, stronger pricing power) and more explicit memory chip cost guidance suggest ROK is better positioned to manage the cost environment than IR.</w:t>
      </w:r>
    </w:p>
    <w:p>
      <w:r>
        <w:rPr>
          <w:rFonts w:ascii="Calibri" w:hAnsi="Calibri"/>
          <w:color w:val="525866"/>
          <w:sz w:val="22"/>
        </w:rPr>
        <w:t>Source: IR Q2 CY2026 Earnings Release (July 30, 2026); News Digest (July 30, 2026).</w:t>
      </w:r>
    </w:p>
    <w:p>
      <w:pPr>
        <w:pStyle w:val="Heading3"/>
      </w:pPr>
      <w:r>
        <w:rPr>
          <w:rFonts w:ascii="Calibri" w:hAnsi="Calibri"/>
          <w:b/>
          <w:color w:val="3B4259"/>
          <w:sz w:val="24"/>
        </w:rPr>
        <w:t>8.7 United Rentals (URI) — Q2 CY2026 Earnings (July 22–23, 2026)</w:t>
      </w:r>
    </w:p>
    <w:p>
      <w:r>
        <w:rPr>
          <w:rFonts w:ascii="Calibri" w:hAnsi="Calibri"/>
          <w:b/>
          <w:color w:val="525866"/>
          <w:sz w:val="22"/>
        </w:rPr>
        <w:t xml:space="preserve">Read-Through Type: </w:t>
      </w:r>
      <w:r>
        <w:rPr>
          <w:rFonts w:ascii="Calibri" w:hAnsi="Calibri"/>
          <w:color w:val="525866"/>
          <w:sz w:val="22"/>
        </w:rPr>
        <w:t>Indirect — URI is a leading indicator for industrial CapEx and construction activity. URI's results reflect the health of the broader industrial investment cycle.</w:t>
      </w:r>
    </w:p>
    <w:p>
      <w:r>
        <w:rPr>
          <w:rFonts w:ascii="Calibri" w:hAnsi="Calibri"/>
          <w:color w:val="525866"/>
          <w:sz w:val="22"/>
        </w:rPr>
        <w:t>URI reported Q2 CY2026 sales of $4.41B vs. consensus $4.21B; EBITDA of $2.056B vs. consensus $1.91B. Raised full-year EBITDA guidance to $7.975–8.125B from $7.625–7.875B. Management stated "customers remaining optimistic about large projects" with "growth accelerating in the quarter."</w:t>
      </w:r>
    </w:p>
    <w:p>
      <w:pPr>
        <w:pStyle w:val="ListBullet"/>
        <w:ind w:left="360" w:hanging="360"/>
      </w:pPr>
      <w:r>
        <w:rPr>
          <w:rFonts w:ascii="Calibri" w:hAnsi="Calibri"/>
          <w:b/>
          <w:color w:val="525866"/>
          <w:sz w:val="22"/>
        </w:rPr>
        <w:t>Customers "remaining optimistic about large projects"</w:t>
      </w:r>
      <w:r>
        <w:rPr>
          <w:rFonts w:ascii="Calibri" w:hAnsi="Calibri"/>
          <w:color w:val="525866"/>
          <w:sz w:val="22"/>
        </w:rPr>
        <w:t xml:space="preserve"> — URI's commentary on large project optimism is a positive leading indicator for ROK's Lifecycle Services capital project pipeline. ROK's management has noted that project funnels are "very healthy" but decision-making is delayed — URI's results suggest the underlying demand is real and projects are eventually proceeding.</w:t>
      </w:r>
    </w:p>
    <w:p>
      <w:pPr>
        <w:pStyle w:val="ListBullet"/>
        <w:ind w:left="360" w:hanging="360"/>
      </w:pPr>
      <w:r>
        <w:rPr>
          <w:rFonts w:ascii="Calibri" w:hAnsi="Calibri"/>
          <w:b/>
          <w:color w:val="525866"/>
          <w:sz w:val="22"/>
        </w:rPr>
        <w:t>EBITDA guidance raised by ~$350M at the midpoint</w:t>
      </w:r>
      <w:r>
        <w:rPr>
          <w:rFonts w:ascii="Calibri" w:hAnsi="Calibri"/>
          <w:color w:val="525866"/>
          <w:sz w:val="22"/>
        </w:rPr>
        <w:t xml:space="preserve"> — The magnitude of URI's guidance raise reflects genuine demand acceleration, not just cost management. This is consistent with the broader industrial peer group's constructive tone on H2 2026.</w:t>
      </w:r>
    </w:p>
    <w:p>
      <w:r>
        <w:rPr>
          <w:rFonts w:ascii="Calibri" w:hAnsi="Calibri"/>
          <w:b/>
          <w:color w:val="525866"/>
          <w:sz w:val="22"/>
        </w:rPr>
        <w:t xml:space="preserve">ROK Implication: </w:t>
      </w:r>
      <w:r>
        <w:rPr>
          <w:rFonts w:ascii="Calibri" w:hAnsi="Calibri"/>
          <w:color w:val="525866"/>
          <w:sz w:val="22"/>
        </w:rPr>
        <w:t>URI's results are a positive indirect read-through for the industrial CapEx environment. The "large project optimism" commentary is particularly relevant for ROK's Lifecycle Services segment, which has been the laggard due to delayed capital project decisions.</w:t>
      </w:r>
    </w:p>
    <w:p>
      <w:r>
        <w:rPr>
          <w:rFonts w:ascii="Calibri" w:hAnsi="Calibri"/>
          <w:color w:val="525866"/>
          <w:sz w:val="22"/>
        </w:rPr>
        <w:t>Source: URI Q2 CY2026 Earnings Release (July 22, 2026); News Digest (July 22–23, 2026).</w:t>
      </w:r>
    </w:p>
    <w:p>
      <w:pPr>
        <w:pStyle w:val="Heading3"/>
      </w:pPr>
      <w:r>
        <w:rPr>
          <w:rFonts w:ascii="Calibri" w:hAnsi="Calibri"/>
          <w:b/>
          <w:color w:val="3B4259"/>
          <w:sz w:val="24"/>
        </w:rPr>
        <w:t>8.8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Read-Through Type</w:t>
            </w:r>
          </w:p>
        </w:tc>
        <w:tc>
          <w:tcPr>
            <w:tcW w:type="dxa" w:w="1728"/>
            <w:shd w:val="clear" w:color="auto" w:fill="3B4259"/>
          </w:tcPr>
          <w:p>
            <w:r>
              <w:rPr>
                <w:rFonts w:ascii="Calibri" w:hAnsi="Calibri"/>
                <w:b/>
                <w:color w:val="FFFFFF"/>
                <w:sz w:val="22"/>
              </w:rPr>
              <w:t>Key Signal for ROK</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Eaton (ETN)</w:t>
            </w:r>
          </w:p>
        </w:tc>
        <w:tc>
          <w:tcPr>
            <w:tcW w:type="dxa" w:w="1728"/>
          </w:tcPr>
          <w:p>
            <w:r>
              <w:rPr>
                <w:rFonts w:ascii="Calibri" w:hAnsi="Calibri"/>
                <w:sz w:val="22"/>
              </w:rPr>
              <w:t>Jul 31, 2026</w:t>
            </w:r>
          </w:p>
        </w:tc>
        <w:tc>
          <w:tcPr>
            <w:tcW w:type="dxa" w:w="1728"/>
          </w:tcPr>
          <w:p>
            <w:r>
              <w:rPr>
                <w:rFonts w:ascii="Calibri" w:hAnsi="Calibri"/>
                <w:sz w:val="22"/>
              </w:rPr>
              <w:t>Direct</w:t>
            </w:r>
          </w:p>
        </w:tc>
        <w:tc>
          <w:tcPr>
            <w:tcW w:type="dxa" w:w="1728"/>
          </w:tcPr>
          <w:p>
            <w:r>
              <w:rPr>
                <w:rFonts w:ascii="Calibri" w:hAnsi="Calibri"/>
                <w:sz w:val="22"/>
              </w:rPr>
              <w:t>Machine OEM orders +mid-30s%; data center revenues +65%; book-to-bill 1.2; tariff impact immaterial</w:t>
            </w:r>
          </w:p>
        </w:tc>
        <w:tc>
          <w:tcPr>
            <w:tcW w:type="dxa" w:w="1728"/>
          </w:tcPr>
          <w:p>
            <w:r>
              <w:rPr>
                <w:rFonts w:ascii="Calibri" w:hAnsi="Calibri"/>
                <w:b/>
                <w:color w:val="30A46C"/>
                <w:sz w:val="22"/>
              </w:rPr>
              <w:t>Strongly Positive</w:t>
            </w:r>
          </w:p>
        </w:tc>
      </w:tr>
      <w:tr>
        <w:tc>
          <w:tcPr>
            <w:tcW w:type="dxa" w:w="1728"/>
          </w:tcPr>
          <w:p>
            <w:r>
              <w:rPr>
                <w:rFonts w:ascii="Calibri" w:hAnsi="Calibri"/>
                <w:sz w:val="22"/>
              </w:rPr>
              <w:t>Honeywell (HON) Q2</w:t>
            </w:r>
          </w:p>
        </w:tc>
        <w:tc>
          <w:tcPr>
            <w:tcW w:type="dxa" w:w="1728"/>
          </w:tcPr>
          <w:p>
            <w:r>
              <w:rPr>
                <w:rFonts w:ascii="Calibri" w:hAnsi="Calibri"/>
                <w:sz w:val="22"/>
              </w:rPr>
              <w:t>Jul 23, 2026</w:t>
            </w:r>
          </w:p>
        </w:tc>
        <w:tc>
          <w:tcPr>
            <w:tcW w:type="dxa" w:w="1728"/>
          </w:tcPr>
          <w:p>
            <w:r>
              <w:rPr>
                <w:rFonts w:ascii="Calibri" w:hAnsi="Calibri"/>
                <w:sz w:val="22"/>
              </w:rPr>
              <w:t>Direct</w:t>
            </w:r>
          </w:p>
        </w:tc>
        <w:tc>
          <w:tcPr>
            <w:tcW w:type="dxa" w:w="1728"/>
          </w:tcPr>
          <w:p>
            <w:r>
              <w:rPr>
                <w:rFonts w:ascii="Calibri" w:hAnsi="Calibri"/>
                <w:sz w:val="22"/>
              </w:rPr>
              <w:t>Industrial Automation +16% organic; orders +11%; process automation orders +24%; memory inflation confirmed</w:t>
            </w:r>
          </w:p>
        </w:tc>
        <w:tc>
          <w:tcPr>
            <w:tcW w:type="dxa" w:w="1728"/>
          </w:tcPr>
          <w:p>
            <w:r>
              <w:rPr>
                <w:rFonts w:ascii="Calibri" w:hAnsi="Calibri"/>
                <w:b/>
                <w:color w:val="30A46C"/>
                <w:sz w:val="22"/>
              </w:rPr>
              <w:t>Positive (with margin caution)</w:t>
            </w:r>
          </w:p>
        </w:tc>
      </w:tr>
      <w:tr>
        <w:tc>
          <w:tcPr>
            <w:tcW w:type="dxa" w:w="1728"/>
          </w:tcPr>
          <w:p>
            <w:r>
              <w:rPr>
                <w:rFonts w:ascii="Calibri" w:hAnsi="Calibri"/>
                <w:sz w:val="22"/>
              </w:rPr>
              <w:t>Honeywell (HON) Investor Day / Guidance Update</w:t>
            </w:r>
          </w:p>
        </w:tc>
        <w:tc>
          <w:tcPr>
            <w:tcW w:type="dxa" w:w="1728"/>
          </w:tcPr>
          <w:p>
            <w:r>
              <w:rPr>
                <w:rFonts w:ascii="Calibri" w:hAnsi="Calibri"/>
                <w:sz w:val="22"/>
              </w:rPr>
              <w:t>Jun 8–11, 2026</w:t>
            </w:r>
          </w:p>
        </w:tc>
        <w:tc>
          <w:tcPr>
            <w:tcW w:type="dxa" w:w="1728"/>
          </w:tcPr>
          <w:p>
            <w:r>
              <w:rPr>
                <w:rFonts w:ascii="Calibri" w:hAnsi="Calibri"/>
                <w:sz w:val="22"/>
              </w:rPr>
              <w:t>Direct</w:t>
            </w:r>
          </w:p>
        </w:tc>
        <w:tc>
          <w:tcPr>
            <w:tcW w:type="dxa" w:w="1728"/>
          </w:tcPr>
          <w:p>
            <w:r>
              <w:rPr>
                <w:rFonts w:ascii="Calibri" w:hAnsi="Calibri"/>
                <w:sz w:val="22"/>
              </w:rPr>
              <w:t>Short-cycle recovery in Europe/Asia; May orders high single-to-double digits; process backlog converting in H2</w:t>
            </w:r>
          </w:p>
        </w:tc>
        <w:tc>
          <w:tcPr>
            <w:tcW w:type="dxa" w:w="1728"/>
          </w:tcPr>
          <w:p>
            <w:r>
              <w:rPr>
                <w:rFonts w:ascii="Calibri" w:hAnsi="Calibri"/>
                <w:b/>
                <w:color w:val="30A46C"/>
                <w:sz w:val="22"/>
              </w:rPr>
              <w:t>Positive</w:t>
            </w:r>
          </w:p>
        </w:tc>
      </w:tr>
      <w:tr>
        <w:tc>
          <w:tcPr>
            <w:tcW w:type="dxa" w:w="1728"/>
          </w:tcPr>
          <w:p>
            <w:r>
              <w:rPr>
                <w:rFonts w:ascii="Calibri" w:hAnsi="Calibri"/>
                <w:sz w:val="22"/>
              </w:rPr>
              <w:t>Carrier Global (CARR)</w:t>
            </w:r>
          </w:p>
        </w:tc>
        <w:tc>
          <w:tcPr>
            <w:tcW w:type="dxa" w:w="1728"/>
          </w:tcPr>
          <w:p>
            <w:r>
              <w:rPr>
                <w:rFonts w:ascii="Calibri" w:hAnsi="Calibri"/>
                <w:sz w:val="22"/>
              </w:rPr>
              <w:t>Jul 28, 2026</w:t>
            </w:r>
          </w:p>
        </w:tc>
        <w:tc>
          <w:tcPr>
            <w:tcW w:type="dxa" w:w="1728"/>
          </w:tcPr>
          <w:p>
            <w:r>
              <w:rPr>
                <w:rFonts w:ascii="Calibri" w:hAnsi="Calibri"/>
                <w:sz w:val="22"/>
              </w:rPr>
              <w:t>Indirect</w:t>
            </w:r>
          </w:p>
        </w:tc>
        <w:tc>
          <w:tcPr>
            <w:tcW w:type="dxa" w:w="1728"/>
          </w:tcPr>
          <w:p>
            <w:r>
              <w:rPr>
                <w:rFonts w:ascii="Calibri" w:hAnsi="Calibri"/>
                <w:sz w:val="22"/>
              </w:rPr>
              <w:t>Data center orders +300%+; total orders +40%; confirms data center demand durability</w:t>
            </w:r>
          </w:p>
        </w:tc>
        <w:tc>
          <w:tcPr>
            <w:tcW w:type="dxa" w:w="1728"/>
          </w:tcPr>
          <w:p>
            <w:r>
              <w:rPr>
                <w:rFonts w:ascii="Calibri" w:hAnsi="Calibri"/>
                <w:b/>
                <w:color w:val="30A46C"/>
                <w:sz w:val="22"/>
              </w:rPr>
              <w:t>Strongly Positive</w:t>
            </w:r>
          </w:p>
        </w:tc>
      </w:tr>
      <w:tr>
        <w:tc>
          <w:tcPr>
            <w:tcW w:type="dxa" w:w="1728"/>
          </w:tcPr>
          <w:p>
            <w:r>
              <w:rPr>
                <w:rFonts w:ascii="Calibri" w:hAnsi="Calibri"/>
                <w:sz w:val="22"/>
              </w:rPr>
              <w:t>Trane Technologies (TT)</w:t>
            </w:r>
          </w:p>
        </w:tc>
        <w:tc>
          <w:tcPr>
            <w:tcW w:type="dxa" w:w="1728"/>
          </w:tcPr>
          <w:p>
            <w:r>
              <w:rPr>
                <w:rFonts w:ascii="Calibri" w:hAnsi="Calibri"/>
                <w:sz w:val="22"/>
              </w:rPr>
              <w:t>Jul 30, 2026</w:t>
            </w:r>
          </w:p>
        </w:tc>
        <w:tc>
          <w:tcPr>
            <w:tcW w:type="dxa" w:w="1728"/>
          </w:tcPr>
          <w:p>
            <w:r>
              <w:rPr>
                <w:rFonts w:ascii="Calibri" w:hAnsi="Calibri"/>
                <w:sz w:val="22"/>
              </w:rPr>
              <w:t>Indirect</w:t>
            </w:r>
          </w:p>
        </w:tc>
        <w:tc>
          <w:tcPr>
            <w:tcW w:type="dxa" w:w="1728"/>
          </w:tcPr>
          <w:p>
            <w:r>
              <w:rPr>
                <w:rFonts w:ascii="Calibri" w:hAnsi="Calibri"/>
                <w:sz w:val="22"/>
              </w:rPr>
              <w:t>Bookings +37%; Americas Commercial HVAC +50%; FY organic growth raised to 9%</w:t>
            </w:r>
          </w:p>
        </w:tc>
        <w:tc>
          <w:tcPr>
            <w:tcW w:type="dxa" w:w="1728"/>
          </w:tcPr>
          <w:p>
            <w:r>
              <w:rPr>
                <w:rFonts w:ascii="Calibri" w:hAnsi="Calibri"/>
                <w:b/>
                <w:color w:val="30A46C"/>
                <w:sz w:val="22"/>
              </w:rPr>
              <w:t>Positive</w:t>
            </w:r>
          </w:p>
        </w:tc>
      </w:tr>
      <w:tr>
        <w:tc>
          <w:tcPr>
            <w:tcW w:type="dxa" w:w="1728"/>
          </w:tcPr>
          <w:p>
            <w:r>
              <w:rPr>
                <w:rFonts w:ascii="Calibri" w:hAnsi="Calibri"/>
                <w:sz w:val="22"/>
              </w:rPr>
              <w:t>Ingersoll Rand (IR)</w:t>
            </w:r>
          </w:p>
        </w:tc>
        <w:tc>
          <w:tcPr>
            <w:tcW w:type="dxa" w:w="1728"/>
          </w:tcPr>
          <w:p>
            <w:r>
              <w:rPr>
                <w:rFonts w:ascii="Calibri" w:hAnsi="Calibri"/>
                <w:sz w:val="22"/>
              </w:rPr>
              <w:t>Jul 30, 2026</w:t>
            </w:r>
          </w:p>
        </w:tc>
        <w:tc>
          <w:tcPr>
            <w:tcW w:type="dxa" w:w="1728"/>
          </w:tcPr>
          <w:p>
            <w:r>
              <w:rPr>
                <w:rFonts w:ascii="Calibri" w:hAnsi="Calibri"/>
                <w:sz w:val="22"/>
              </w:rPr>
              <w:t>Indirect</w:t>
            </w:r>
          </w:p>
        </w:tc>
        <w:tc>
          <w:tcPr>
            <w:tcW w:type="dxa" w:w="1728"/>
          </w:tcPr>
          <w:p>
            <w:r>
              <w:rPr>
                <w:rFonts w:ascii="Calibri" w:hAnsi="Calibri"/>
                <w:sz w:val="22"/>
              </w:rPr>
              <w:t>Revenue guidance raised but EBITDA margins missed; cost pressures real; mixed execution signal</w:t>
            </w:r>
          </w:p>
        </w:tc>
        <w:tc>
          <w:tcPr>
            <w:tcW w:type="dxa" w:w="1728"/>
          </w:tcPr>
          <w:p>
            <w:r>
              <w:rPr>
                <w:rFonts w:ascii="Calibri" w:hAnsi="Calibri"/>
                <w:b/>
                <w:color w:val="002FA7"/>
                <w:sz w:val="22"/>
              </w:rPr>
              <w:t>Mixed</w:t>
            </w:r>
          </w:p>
        </w:tc>
      </w:tr>
      <w:tr>
        <w:tc>
          <w:tcPr>
            <w:tcW w:type="dxa" w:w="1728"/>
          </w:tcPr>
          <w:p>
            <w:r>
              <w:rPr>
                <w:rFonts w:ascii="Calibri" w:hAnsi="Calibri"/>
                <w:sz w:val="22"/>
              </w:rPr>
              <w:t>United Rentals (URI)</w:t>
            </w:r>
          </w:p>
        </w:tc>
        <w:tc>
          <w:tcPr>
            <w:tcW w:type="dxa" w:w="1728"/>
          </w:tcPr>
          <w:p>
            <w:r>
              <w:rPr>
                <w:rFonts w:ascii="Calibri" w:hAnsi="Calibri"/>
                <w:sz w:val="22"/>
              </w:rPr>
              <w:t>Jul 22–23, 2026</w:t>
            </w:r>
          </w:p>
        </w:tc>
        <w:tc>
          <w:tcPr>
            <w:tcW w:type="dxa" w:w="1728"/>
          </w:tcPr>
          <w:p>
            <w:r>
              <w:rPr>
                <w:rFonts w:ascii="Calibri" w:hAnsi="Calibri"/>
                <w:sz w:val="22"/>
              </w:rPr>
              <w:t>Indirect</w:t>
            </w:r>
          </w:p>
        </w:tc>
        <w:tc>
          <w:tcPr>
            <w:tcW w:type="dxa" w:w="1728"/>
          </w:tcPr>
          <w:p>
            <w:r>
              <w:rPr>
                <w:rFonts w:ascii="Calibri" w:hAnsi="Calibri"/>
                <w:sz w:val="22"/>
              </w:rPr>
              <w:t>Sales +$200M vs. consensus; EBITDA +$146M vs. consensus; customers optimistic on large projects</w:t>
            </w:r>
          </w:p>
        </w:tc>
        <w:tc>
          <w:tcPr>
            <w:tcW w:type="dxa" w:w="1728"/>
          </w:tcPr>
          <w:p>
            <w:r>
              <w:rPr>
                <w:rFonts w:ascii="Calibri" w:hAnsi="Calibri"/>
                <w:b/>
                <w:color w:val="30A46C"/>
                <w:sz w:val="22"/>
              </w:rPr>
              <w:t>Positive</w:t>
            </w:r>
          </w:p>
        </w:tc>
      </w:tr>
    </w:tbl>
    <w:p>
      <w:r>
        <w:rPr>
          <w:rFonts w:ascii="Calibri" w:hAnsi="Calibri"/>
          <w:b/>
          <w:color w:val="525866"/>
          <w:sz w:val="22"/>
        </w:rPr>
        <w:t xml:space="preserve">Overall Peer Read-Through Assessment: </w:t>
      </w:r>
      <w:r>
        <w:rPr>
          <w:rFonts w:ascii="Calibri" w:hAnsi="Calibri"/>
          <w:color w:val="525866"/>
          <w:sz w:val="22"/>
        </w:rPr>
        <w:t>The peer commentary since ROK's May 5 earnings is overwhelmingly constructive for Q3. The most important signals are: (1) ETN's Machine OEM order surge directly validates ROK's Intelligent Devices demand; (2) HON's industrial automation recovery and process automation order surge validate both ROK's short-cycle and Lifecycle Services outlook; (3) CARR's data center order explosion confirms the durability of ROK's fastest-growing end market; and (4) the broad-based guidance raises across the peer group suggest the industrial demand environment is tracking above initial expectations. The one nuance is IR's margin miss, which is a reminder that cost execution matters — ROK's guided memory chip headwind in Q3 is real and the market will be watching Software &amp; Control margins closely.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