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RSG (Republic Services) before writing the preview. Let me gather recent filings, transcripts, and news.Let me read the most recent earnings materials and the year-ago quarter for context.I have Q1 2026 detail. Now let me get the full-year 2026 guidance (given on the Q4 2025 call) and recent stock price action plus news.Let me check recent sector/peer news to understand the setup into the print (RSG fell alongside WM on 7/30).Let me quickly read WM's Q2 print for the sector read-through, since RSG traded down after it.I have what I need. Let me pull the key numbers together and write the preview.Here is the earnings preview.</w:t>
      </w:r>
    </w:p>
    <w:p>
      <w:r>
        <w:pict>
          <v:rect style="width:0;height:1.5pt" o:hralign="center" o:hrstd="t" o:hr="t"/>
        </w:pict>
      </w:r>
    </w:p>
    <w:bookmarkStart w:id="15" w:name="Xb23e742d3b8268d6832c04a53f46c235f122b96"/>
    <w:p>
      <w:pPr>
        <w:pStyle w:val="Heading1"/>
      </w:pPr>
      <w:r>
        <w:t xml:space="preserve">Republic Services (RSG)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After market close, Wednesday, August 6, 2026 (2026Q2 Earnings Call)</w:t>
      </w:r>
      <w:r>
        <w:t xml:space="preserve"> </w:t>
      </w:r>
      <w:r>
        <w:rPr>
          <w:b/>
          <w:bCs/>
        </w:rPr>
        <w:t xml:space="preserve">Last close (8/5/26):</w:t>
      </w:r>
      <w:r>
        <w:t xml:space="preserve"> </w:t>
      </w:r>
      <m:oMath>
        <m:r>
          <m:t>207.06</m:t>
        </m:r>
        <m:r>
          <m:rPr>
            <m:sty m:val="p"/>
          </m:rPr>
          <m:t>·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Y</m:t>
        </m:r>
        <m:r>
          <m:t>T</m:t>
        </m:r>
        <m:r>
          <m:t>D</m:t>
        </m:r>
        <m:r>
          <m:rPr>
            <m:sty m:val="p"/>
          </m:rPr>
          <m:t>: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t>f</m:t>
        </m:r>
        <m:r>
          <m:t>l</m:t>
        </m:r>
        <m:r>
          <m:t>a</m:t>
        </m:r>
        <m:r>
          <m:t>t</m:t>
        </m:r>
        <m:r>
          <m:rPr>
            <m:sty m:val="p"/>
          </m:rPr>
          <m:t>(</m:t>
        </m:r>
        <m:r>
          <m:rPr>
            <m:sty m:val="p"/>
          </m:rPr>
          <m:t>–</m:t>
        </m:r>
        <m:r>
          <m:t>1.5</m:t>
        </m:r>
      </m:oMath>
      <w:r>
        <w:t xml:space="preserve">232**</w:t>
      </w:r>
    </w:p>
    <w:p>
      <w:r>
        <w:pict>
          <v:rect style="width:0;height:1.5pt" o:hralign="center" o:hrstd="t" o:hr="t"/>
        </w:pict>
      </w:r>
    </w:p>
    <w:bookmarkStart w:id="9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RSG reports into a jittery tape. The stock has given back ~5% in the week since peer</w:t>
      </w:r>
      <w:r>
        <w:t xml:space="preserve"> </w:t>
      </w:r>
      <w:r>
        <w:rPr>
          <w:b/>
          <w:bCs/>
        </w:rPr>
        <w:t xml:space="preserve">Waste Management</w:t>
      </w:r>
      <w:r>
        <w:t xml:space="preserve"> </w:t>
      </w:r>
      <w:r>
        <w:t xml:space="preserve">printed Q2 on July 28 and</w:t>
      </w:r>
      <w:r>
        <w:t xml:space="preserve"> </w:t>
      </w:r>
      <w:r>
        <w:rPr>
          <w:i/>
          <w:iCs/>
        </w:rPr>
        <w:t xml:space="preserve">trimmed its full-year revenue outlook on softer volumes</w:t>
      </w:r>
      <w:r>
        <w:t xml:space="preserve">, dragging the whole group lower (RSG fell ~3.5% the day after WM reported). The debate tomorrow is simple: can RSG's price-led algorithm and cost/AI self-help continue to more-than-offset a still-negative volume environment — and does management have enough confidence to hold (or nudge) full-year guidance despite tougher landfill comps and a mid-year macro that remains "stable but soft"?</w:t>
      </w:r>
    </w:p>
    <w:p>
      <w:r>
        <w:pict>
          <v:rect style="width:0;height:1.5pt" o:hralign="center" o:hrstd="t" o:hr="t"/>
        </w:pict>
      </w:r>
    </w:p>
    <w:bookmarkEnd w:id="9"/>
    <w:bookmarkStart w:id="10" w:name="X5ac11be4b7b96e891bff492f41b40ee8f213614"/>
    <w:p>
      <w:pPr>
        <w:pStyle w:val="Heading2"/>
      </w:pPr>
      <w:r>
        <w:t xml:space="preserve">What to anchor on: the full-year 2026 guide (set in February)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FY2026 Guidance</w:t>
            </w:r>
          </w:p>
        </w:tc>
        <w:tc>
          <w:tcPr/>
          <w:p>
            <w:pPr>
              <w:pStyle w:val="Compact"/>
            </w:pPr>
            <w:r>
              <w:t xml:space="preserve">Midpoint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$17.05–17.15B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$5.475–5.525B</w:t>
            </w:r>
          </w:p>
        </w:tc>
        <w:tc>
          <w:tcPr/>
          <w:p>
            <w:pPr>
              <w:pStyle w:val="Compact"/>
            </w:pPr>
            <w:r>
              <w:t xml:space="preserve">+3.6%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~32.2%</w:t>
            </w:r>
          </w:p>
        </w:tc>
        <w:tc>
          <w:tcPr/>
          <w:p>
            <w:pPr>
              <w:pStyle w:val="Compact"/>
            </w:pPr>
            <w:r>
              <w:t xml:space="preserve">+20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$7.20–7.28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FCF</w:t>
            </w:r>
          </w:p>
        </w:tc>
        <w:tc>
          <w:tcPr/>
          <w:p>
            <w:pPr>
              <w:pStyle w:val="Compact"/>
            </w:pPr>
            <w:r>
              <w:t xml:space="preserve">$2.52–2.56B</w:t>
            </w:r>
          </w:p>
        </w:tc>
        <w:tc>
          <w:tcPr/>
          <w:p>
            <w:pPr>
              <w:pStyle w:val="Compact"/>
            </w:pPr>
            <w:r>
              <w:t xml:space="preserve">+4.4%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Avg yield (related)</w:t>
            </w:r>
          </w:p>
        </w:tc>
        <w:tc>
          <w:tcPr/>
          <w:p>
            <w:pPr>
              <w:pStyle w:val="Compact"/>
            </w:pPr>
            <w:r>
              <w:t xml:space="preserve">4.0–4.5%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volume (total)</w:t>
            </w:r>
          </w:p>
        </w:tc>
        <w:tc>
          <w:tcPr/>
          <w:p>
            <w:pPr>
              <w:pStyle w:val="Compact"/>
            </w:pPr>
            <w:r>
              <w:t xml:space="preserve">~ –1%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M&amp;A investment</w:t>
            </w:r>
          </w:p>
        </w:tc>
        <w:tc>
          <w:tcPr/>
          <w:p>
            <w:pPr>
              <w:pStyle w:val="Compact"/>
            </w:pPr>
            <w:r>
              <w:t xml:space="preserve">~$1B+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Two nuances management stressed in February that matter for tomorrow: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comps get harder in Q2/Q3.</w:t>
      </w:r>
      <w:r>
        <w:t xml:space="preserve"> </w:t>
      </w:r>
      <w:r>
        <w:t xml:space="preserve">2025 benefited from wildfire and hurricane cleanup landfill volumes, which create a ~60 bp organic-volume headwind for 2026 and pull margin</w:t>
      </w:r>
      <w:r>
        <w:t xml:space="preserve"> </w:t>
      </w:r>
      <w:r>
        <w:rPr>
          <w:i/>
          <w:iCs/>
        </w:rPr>
        <w:t xml:space="preserve">lower in the middle of the year</w:t>
      </w:r>
      <w:r>
        <w:t xml:space="preserve">. Management explicitly guided</w:t>
      </w:r>
      <w:r>
        <w:t xml:space="preserve"> </w:t>
      </w:r>
      <w:r>
        <w:rPr>
          <w:b/>
          <w:bCs/>
        </w:rPr>
        <w:t xml:space="preserve">Q2 margin flat-to-slightly-down YoY</w:t>
      </w:r>
      <w:r>
        <w:t xml:space="preserve">, with the bulk of the year's margin expansion landing in Q4. Don't panic if reported Q2 margin isn't up — the "underlying" (ex-project, ex-fuel, ex-commodity, ex-M&amp;A) figure is the tell.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 the nonrecurring 2025 projects,</w:t>
      </w:r>
      <w:r>
        <w:t xml:space="preserve"> </w:t>
      </w:r>
      <w:r>
        <w:t xml:space="preserve">the guide implies ~4% top line, &gt;5% EBITDA growth, ~50 bps of underlying margin expansion, ~6% EPS growth — i.e., the long-term algorithm is intact underneath the optics.</w:t>
      </w:r>
    </w:p>
    <w:p>
      <w:pPr>
        <w:pStyle w:val="FirstParagraph"/>
      </w:pPr>
      <w:r>
        <w:t xml:space="preserve">Implied math: with Q1 adjusted EPS of</w:t>
      </w:r>
      <w:r>
        <w:t xml:space="preserve"> </w:t>
      </w:r>
      <m:oMath>
        <m:r>
          <m:t>1.70</m:t>
        </m:r>
        <m:r>
          <m:t>b</m:t>
        </m:r>
        <m:r>
          <m:t>o</m:t>
        </m:r>
        <m:r>
          <m:t>o</m:t>
        </m:r>
        <m:r>
          <m:t>k</m:t>
        </m:r>
        <m:r>
          <m:t>e</m:t>
        </m:r>
        <m:r>
          <m:t>d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5.54 of EPS remains across Q2–Q4**; Q2 is seasonally one of the two strongest quarters, so Street will be looking for something in the ~$2.00 area (my estimate from the guide cadence, not a published consensus).</w:t>
      </w:r>
    </w:p>
    <w:p>
      <w:r>
        <w:pict>
          <v:rect style="width:0;height:1.5pt" o:hralign="center" o:hrstd="t" o:hr="t"/>
        </w:pict>
      </w:r>
    </w:p>
    <w:bookmarkEnd w:id="10"/>
    <w:bookmarkStart w:id="11" w:name="X07ba5966ad2fb9b5964043a8e5e2c201a08b769"/>
    <w:p>
      <w:pPr>
        <w:pStyle w:val="Heading2"/>
      </w:pPr>
      <w:r>
        <w:t xml:space="preserve">How Q1 framed the year (the momentum coming in)</w:t>
      </w:r>
    </w:p>
    <w:p>
      <w:pPr>
        <w:pStyle w:val="FirstParagraph"/>
      </w:pPr>
      <w:r>
        <w:t xml:space="preserve">Q1 2026 was a clean beat-and-hold:</w:t>
      </w:r>
    </w:p>
    <w:p>
      <w:pPr>
        <w:pStyle w:val="Compact"/>
        <w:numPr>
          <w:ilvl w:val="0"/>
          <w:numId w:val="1002"/>
        </w:numPr>
      </w:pPr>
      <w:r>
        <w:t xml:space="preserve">Revenue</w:t>
      </w:r>
      <w:r>
        <w:t xml:space="preserve"> </w:t>
      </w:r>
      <w:r>
        <w:rPr>
          <w:b/>
          <w:bCs/>
        </w:rPr>
        <w:t xml:space="preserve">$4,113M, +2.6%</w:t>
      </w:r>
      <w:r>
        <w:t xml:space="preserve">;</w:t>
      </w:r>
      <w:r>
        <w:t xml:space="preserve"> </w:t>
      </w:r>
      <w:r>
        <w:rPr>
          <w:b/>
          <w:bCs/>
        </w:rPr>
        <w:t xml:space="preserve">Adjusted EBITDA $1.32B, margin 32.1% (+50 bps)</w:t>
      </w:r>
      <w:r>
        <w:t xml:space="preserve">;</w:t>
      </w:r>
      <w:r>
        <w:t xml:space="preserve"> </w:t>
      </w:r>
      <w:r>
        <w:rPr>
          <w:b/>
          <w:bCs/>
        </w:rPr>
        <w:t xml:space="preserve">Adjusted EPS $1.70, +7.6%</w:t>
      </w:r>
      <w:r>
        <w:t xml:space="preserve">;</w:t>
      </w:r>
      <w:r>
        <w:t xml:space="preserve"> </w:t>
      </w:r>
      <w:r>
        <w:rPr>
          <w:b/>
          <w:bCs/>
        </w:rPr>
        <w:t xml:space="preserve">Adjusted FCF $984M, +35%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Pricing stayed strong:</w:t>
      </w:r>
      <w:r>
        <w:t xml:space="preserve"> </w:t>
      </w:r>
      <w:r>
        <w:rPr>
          <w:b/>
          <w:bCs/>
        </w:rPr>
        <w:t xml:space="preserve">core price 5.7% total / 6.8% related</w:t>
      </w:r>
      <w:r>
        <w:t xml:space="preserve"> </w:t>
      </w:r>
      <w:r>
        <w:t xml:space="preserve">(open market 8.4%, restricted 4.4%);</w:t>
      </w:r>
      <w:r>
        <w:t xml:space="preserve"> </w:t>
      </w:r>
      <w:r>
        <w:rPr>
          <w:b/>
          <w:bCs/>
        </w:rPr>
        <w:t xml:space="preserve">average yield 3.4% total / 4.1% related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Volume was still negative (</w:t>
      </w:r>
      <w:r>
        <w:rPr>
          <w:b/>
          <w:bCs/>
        </w:rPr>
        <w:t xml:space="preserve">–0.8% total / –1.0% related</w:t>
      </w:r>
      <w:r>
        <w:t xml:space="preserve">) but improving sequentially, with the</w:t>
      </w:r>
      <w:r>
        <w:t xml:space="preserve"> </w:t>
      </w:r>
      <w:r>
        <w:rPr>
          <w:i/>
          <w:iCs/>
        </w:rPr>
        <w:t xml:space="preserve">temporary large-container line growing YoY for the first time in over two years</w:t>
      </w:r>
      <w:r>
        <w:t xml:space="preserve"> </w:t>
      </w:r>
      <w:r>
        <w:t xml:space="preserve">— a potential early construction-cycle green shoot.</w:t>
      </w:r>
    </w:p>
    <w:p>
      <w:pPr>
        <w:pStyle w:val="Compact"/>
        <w:numPr>
          <w:ilvl w:val="0"/>
          <w:numId w:val="1002"/>
        </w:numPr>
      </w:pPr>
      <w:r>
        <w:t xml:space="preserve">Underlying margin expanded ~90 bps; net fuel (–20 bp), commodities (–20 bp) and M&amp;A (–20 bp) were offsets, aided by a one-time favorable legal settlement (+20 bp).</w:t>
      </w:r>
    </w:p>
    <w:p>
      <w:r>
        <w:pict>
          <v:rect style="width:0;height:1.5pt" o:hralign="center" o:hrstd="t" o:hr="t"/>
        </w:pict>
      </w:r>
    </w:p>
    <w:bookmarkEnd w:id="11"/>
    <w:bookmarkStart w:id="12" w:name="X1a5a0ac0085ab7d334446cd9d776362ec99e8ac"/>
    <w:p>
      <w:pPr>
        <w:pStyle w:val="Heading2"/>
      </w:pPr>
      <w:r>
        <w:t xml:space="preserve">The five things I'd watch on the print/call</w:t>
      </w:r>
    </w:p>
    <w:p>
      <w:pPr>
        <w:pStyle w:val="FirstParagraph"/>
      </w:pPr>
      <w:r>
        <w:rPr>
          <w:b/>
          <w:bCs/>
        </w:rPr>
        <w:t xml:space="preserve">1. Volume trajectory &amp; the "green shoots."</w:t>
      </w:r>
      <w:r>
        <w:t xml:space="preserve"> </w:t>
      </w:r>
      <w:r>
        <w:t xml:space="preserve">Management said Q2 volume would be</w:t>
      </w:r>
      <w:r>
        <w:t xml:space="preserve"> </w:t>
      </w:r>
      <w:r>
        <w:rPr>
          <w:i/>
          <w:iCs/>
        </w:rPr>
        <w:t xml:space="preserve">negative</w:t>
      </w:r>
      <w:r>
        <w:t xml:space="preserve"> </w:t>
      </w:r>
      <w:r>
        <w:t xml:space="preserve">(tougher landfill comp) before flipping positive in Q4. The key read is whether special waste/MSW momentum and the temporary-container recovery are building. Note the peer read-through:</w:t>
      </w:r>
      <w:r>
        <w:t xml:space="preserve"> </w:t>
      </w:r>
      <w:r>
        <w:rPr>
          <w:b/>
          <w:bCs/>
        </w:rPr>
        <w:t xml:space="preserve">WM reported C&amp;D-and-disposal volume –1.8% (–0.4% ex-wildfire) but said residential losses are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slowing</w:t>
      </w:r>
      <w:r>
        <w:rPr>
          <w:b/>
          <w:bCs/>
        </w:rPr>
        <w:t xml:space="preserve">, improving 210 bps sequentially.</w:t>
      </w:r>
      <w:r>
        <w:t xml:space="preserve"> </w:t>
      </w:r>
      <w:r>
        <w:t xml:space="preserve">Watch RSG's residential line — Q1 was –5.2% on known contract losses that roll off into 2027.</w:t>
      </w:r>
    </w:p>
    <w:p>
      <w:pPr>
        <w:pStyle w:val="BodyText"/>
      </w:pPr>
      <w:r>
        <w:rPr>
          <w:b/>
          <w:bCs/>
        </w:rPr>
        <w:t xml:space="preserve">2. Fuel becomes a tailwind.</w:t>
      </w:r>
      <w:r>
        <w:t xml:space="preserve"> </w:t>
      </w:r>
      <w:r>
        <w:t xml:space="preserve">The March diesel spike cost ~$8M of EBITDA in Q1 because RSG's fuel-recovery fee lags ~1 month. Management said the fee</w:t>
      </w:r>
      <w:r>
        <w:t xml:space="preserve"> </w:t>
      </w:r>
      <w:r>
        <w:rPr>
          <w:i/>
          <w:iCs/>
        </w:rPr>
        <w:t xml:space="preserve">catches up beginning in Q2</w:t>
      </w:r>
      <w:r>
        <w:t xml:space="preserve">, so watch for fuel to swing from headwind toward neutral/positive.</w:t>
      </w:r>
    </w:p>
    <w:p>
      <w:pPr>
        <w:pStyle w:val="BodyText"/>
      </w:pPr>
      <w:r>
        <w:rPr>
          <w:b/>
          <w:bCs/>
        </w:rPr>
        <w:t xml:space="preserve">3. Recycled commodity prices — a quiet upside lever.</w:t>
      </w:r>
      <w:r>
        <w:t xml:space="preserve"> </w:t>
      </w:r>
      <w:r>
        <w:t xml:space="preserve">Guidance was baselined at</w:t>
      </w:r>
      <w:r>
        <w:t xml:space="preserve"> </w:t>
      </w:r>
      <m:oMath>
        <m:r>
          <m:t>115</m:t>
        </m:r>
        <m:r>
          <m:rPr>
            <m:sty m:val="p"/>
          </m:rPr>
          <m:t>/</m:t>
        </m:r>
        <m:r>
          <m:t>t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s</m:t>
        </m:r>
        <m:r>
          <m:t>w</m:t>
        </m:r>
        <m:r>
          <m:t>e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125/ton</w:t>
      </w:r>
      <w:r>
        <w:t xml:space="preserve"> </w:t>
      </w:r>
      <w:r>
        <w:t xml:space="preserve">as of the Q1 call vs. $120 realized in Q1. Every dollar helps offset the YoY drag (Q1 was $120 vs $155 a year ago). Any commentary on plastics/PET spreads and the polymer-center/Blue Polymers JV economics is worth parsing.</w:t>
      </w:r>
    </w:p>
    <w:p>
      <w:pPr>
        <w:pStyle w:val="BodyText"/>
      </w:pPr>
      <w:r>
        <w:rPr>
          <w:b/>
          <w:bCs/>
        </w:rPr>
        <w:t xml:space="preserve">4. Environmental Solutions inflection.</w:t>
      </w:r>
      <w:r>
        <w:t xml:space="preserve"> </w:t>
      </w:r>
      <w:r>
        <w:t xml:space="preserve">ES revenue was –1.3% in Q1 and margin dipped to 19.2%, weighed by a non-repeating 2025 emergency-response job. Management has repeatedly guided ES back to</w:t>
      </w:r>
      <w:r>
        <w:t xml:space="preserve"> </w:t>
      </w:r>
      <w:r>
        <w:rPr>
          <w:b/>
          <w:bCs/>
        </w:rPr>
        <w:t xml:space="preserve">YoY growth in H2 2026</w:t>
      </w:r>
      <w:r>
        <w:t xml:space="preserve"> </w:t>
      </w:r>
      <w:r>
        <w:t xml:space="preserve">as a longer-cycle sales pipeline converts. Confirmation (or slippage) of that inflection is a key swing factor for the second half.</w:t>
      </w:r>
    </w:p>
    <w:p>
      <w:pPr>
        <w:pStyle w:val="BodyText"/>
      </w:pPr>
      <w:r>
        <w:rPr>
          <w:b/>
          <w:bCs/>
        </w:rPr>
        <w:t xml:space="preserve">5. Guidance action &amp; capital allocation.</w:t>
      </w:r>
      <w:r>
        <w:t xml:space="preserve"> </w:t>
      </w:r>
      <w:r>
        <w:t xml:space="preserve">Given WM</w:t>
      </w:r>
      <w:r>
        <w:t xml:space="preserve"> </w:t>
      </w:r>
      <w:r>
        <w:rPr>
          <w:i/>
          <w:iCs/>
        </w:rPr>
        <w:t xml:space="preserve">lowered its revenue guide but held EBITDA/FCF</w:t>
      </w:r>
      <w:r>
        <w:t xml:space="preserve"> </w:t>
      </w:r>
      <w:r>
        <w:t xml:space="preserve">on cost flex, the market will scrutinize whether RSG reaffirms, trims the top line, or leans on price/cost to protect EBITDA and EPS. Supporting the shareholder-return story: RSG just</w:t>
      </w:r>
      <w:r>
        <w:t xml:space="preserve"> </w:t>
      </w:r>
      <w:r>
        <w:rPr>
          <w:b/>
          <w:bCs/>
        </w:rPr>
        <w:t xml:space="preserve">raised the quarterly dividend to $0.67/share (from $0.625, +4.5 cents)</w:t>
      </w:r>
      <w:r>
        <w:t xml:space="preserve"> </w:t>
      </w:r>
      <w:r>
        <w:t xml:space="preserve">on July 29, and in Q1 deployed</w:t>
      </w:r>
      <w:r>
        <w:t xml:space="preserve"> </w:t>
      </w:r>
      <w:r>
        <w:t xml:space="preserve">$433M on M&amp;A (&gt;$</w:t>
      </w:r>
      <w:r>
        <w:t xml:space="preserve">700M YTD, on pace to exceed $1B) plus</w:t>
      </w:r>
      <w:r>
        <w:t xml:space="preserve"> </w:t>
      </w:r>
      <m:oMath>
        <m:r>
          <m:t>507</m:t>
        </m:r>
        <m:r>
          <m:t>M</m:t>
        </m:r>
        <m:r>
          <m:t>r</m:t>
        </m:r>
        <m:r>
          <m:t>e</m:t>
        </m:r>
        <m:r>
          <m:t>t</m:t>
        </m:r>
        <m:r>
          <m:t>u</m:t>
        </m:r>
        <m:r>
          <m:t>r</m:t>
        </m:r>
        <m:r>
          <m:t>n</m:t>
        </m:r>
        <m:r>
          <m:t>e</m:t>
        </m:r>
        <m:r>
          <m:t>d</m:t>
        </m:r>
        <m:r>
          <m:t>t</m:t>
        </m:r>
        <m:r>
          <m:t>o</m:t>
        </m:r>
        <m:r>
          <m:t>h</m:t>
        </m:r>
        <m:r>
          <m:t>o</m:t>
        </m:r>
        <m:r>
          <m:t>l</m:t>
        </m:r>
        <m:r>
          <m:t>d</m:t>
        </m:r>
        <m:r>
          <m:t>e</m:t>
        </m:r>
        <m:r>
          <m:t>r</m:t>
        </m:r>
        <m:r>
          <m:t>s</m:t>
        </m:r>
        <m:r>
          <m:rPr>
            <m:sty m:val="p"/>
          </m:rPr>
          <m:t>(</m:t>
        </m:r>
      </m:oMath>
      <w:r>
        <w:t xml:space="preserve">314M buybacks). Leverage sits at ~2.6x.</w:t>
      </w:r>
    </w:p>
    <w:p>
      <w:r>
        <w:pict>
          <v:rect style="width:0;height:1.5pt" o:hralign="center" o:hrstd="t" o:hr="t"/>
        </w:pict>
      </w:r>
    </w:p>
    <w:bookmarkEnd w:id="12"/>
    <w:bookmarkStart w:id="13" w:name="longer-term-threads-that-may-get-airtime"/>
    <w:p>
      <w:pPr>
        <w:pStyle w:val="Heading2"/>
      </w:pPr>
      <w:r>
        <w:t xml:space="preserve">Longer-term threads that may get airtime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AI/digital:</w:t>
      </w:r>
      <w:r>
        <w:t xml:space="preserve"> </w:t>
      </w:r>
      <w:r>
        <w:t xml:space="preserve">management reiterated a target of</w:t>
      </w:r>
      <w:r>
        <w:t xml:space="preserve"> </w:t>
      </w:r>
      <w:r>
        <w:rPr>
          <w:b/>
          <w:bCs/>
        </w:rPr>
        <w:t xml:space="preserve">at least $100M of annual benefit by 2028</w:t>
      </w:r>
      <w:r>
        <w:t xml:space="preserve"> </w:t>
      </w:r>
      <w:r>
        <w:t xml:space="preserve">across three buckets — pricing (benefits first, in 2026), RISE routing (scales into 2028, the biggest lever), and call-center automation. Any hard 2026 quantification would be new.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Sustainability build-out:</w:t>
      </w:r>
      <w:r>
        <w:t xml:space="preserve"> </w:t>
      </w:r>
      <w:r>
        <w:t xml:space="preserve">4 more RNG projects due online in 2026 (→82 total), targeting ~</w:t>
      </w:r>
      <m:oMath>
        <m:r>
          <m:t>10</m:t>
        </m:r>
        <m:r>
          <m:t>M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a</m:t>
        </m:r>
        <m:r>
          <m:t>l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t</m:t>
        </m:r>
        <m:r>
          <m:t>h</m:t>
        </m:r>
        <m:r>
          <m:t>i</m:t>
        </m:r>
        <m:r>
          <m:t>s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n</m:t>
        </m:r>
        <m:r>
          <m:t>d</m:t>
        </m:r>
        <m:r>
          <m:t>a</m:t>
        </m:r>
        <m:r>
          <m:t>r</m:t>
        </m:r>
        <m:r>
          <m:t>a</m:t>
        </m:r>
        <m:r>
          <m:t>m</m:t>
        </m:r>
        <m:r>
          <m:t>p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t> </m:t>
        </m:r>
      </m:oMath>
      <w:r>
        <w:t xml:space="preserve">120M run-rate by decade-end; 300+ EV collection trucks by year-end.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Structural positives:</w:t>
      </w:r>
      <w:r>
        <w:t xml:space="preserve"> </w:t>
      </w:r>
      <w:r>
        <w:t xml:space="preserve">~94% retention, record-low turnover, reshoring/PFAS as multi-year ES demand drivers.</w:t>
      </w:r>
    </w:p>
    <w:p>
      <w:r>
        <w:pict>
          <v:rect style="width:0;height:1.5pt" o:hralign="center" o:hrstd="t" o:hr="t"/>
        </w:pict>
      </w:r>
    </w:p>
    <w:bookmarkEnd w:id="13"/>
    <w:bookmarkStart w:id="1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RSG enters the print with a resilient, price-driven model and a de-risked full-year framework — but also with (a) a knowingly tough Q2 landfill/margin comp, (b) a sector that just flashed a soft-volume warning via WM, and (c) a stock that has already corrected ~11% from its March high and ~5% in the past week. The likely path to a positive reaction: reassure on the</w:t>
      </w:r>
      <w:r>
        <w:t xml:space="preserve"> </w:t>
      </w:r>
      <w:r>
        <w:rPr>
          <w:b/>
          <w:bCs/>
        </w:rPr>
        <w:t xml:space="preserve">volume inflection into H2/Q4</w:t>
      </w:r>
      <w:r>
        <w:t xml:space="preserve">, show</w:t>
      </w:r>
      <w:r>
        <w:t xml:space="preserve"> </w:t>
      </w:r>
      <w:r>
        <w:rPr>
          <w:b/>
          <w:bCs/>
        </w:rPr>
        <w:t xml:space="preserve">fuel and commodities turning supportive</w:t>
      </w:r>
      <w:r>
        <w:t xml:space="preserve">, confirm the</w:t>
      </w:r>
      <w:r>
        <w:t xml:space="preserve"> </w:t>
      </w:r>
      <w:r>
        <w:rPr>
          <w:b/>
          <w:bCs/>
        </w:rPr>
        <w:t xml:space="preserve">ES second-half recovery</w:t>
      </w:r>
      <w:r>
        <w:t xml:space="preserve">, and</w:t>
      </w:r>
      <w:r>
        <w:t xml:space="preserve"> </w:t>
      </w:r>
      <w:r>
        <w:rPr>
          <w:b/>
          <w:bCs/>
        </w:rPr>
        <w:t xml:space="preserve">reaffirm (or better) the FY EPS/FCF guide</w:t>
      </w:r>
      <w:r>
        <w:t xml:space="preserve"> </w:t>
      </w:r>
      <w:r>
        <w:t xml:space="preserve">on the strength of pricing and cost/AI self-help. Optically weak headline volume/margin is</w:t>
      </w:r>
      <w:r>
        <w:t xml:space="preserve"> </w:t>
      </w:r>
      <w:r>
        <w:rPr>
          <w:i/>
          <w:iCs/>
        </w:rPr>
        <w:t xml:space="preserve">expected</w:t>
      </w:r>
      <w:r>
        <w:t xml:space="preserve"> </w:t>
      </w:r>
      <w:r>
        <w:t xml:space="preserve">— the market's focus should be on the underlying (ex-project) trend and the tone on the second-half acceleration.</w:t>
      </w:r>
    </w:p>
    <w:p>
      <w:pPr>
        <w:pStyle w:val="BodyText"/>
      </w:pPr>
      <w:r>
        <w:rPr>
          <w:i/>
          <w:iCs/>
        </w:rPr>
        <w:t xml:space="preserve">Note: RSG operates on a shifted fiscal calendar in this dataset; figures above are drawn from RSG's Q1 2026 release/call and FY2026 guidance (given Feb 2026), plus WM's Q2 2026 release as a sector read-through.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2026-08-06T01:10:48Z</dcterms:created>
  <dcterms:modified xsi:type="dcterms:W3CDTF">2026-08-06T01:10:48Z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