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rsg-earnings-predictions--2026-08-06"/>
    <w:p>
      <w:pPr>
        <w:pStyle w:val="Heading1"/>
      </w:pPr>
      <w:r>
        <w:t xml:space="preserve">RSG Earnings Predictions — 2026-08-06</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RSG</w:t>
            </w:r>
          </w:p>
        </w:tc>
        <w:tc>
          <w:tcPr/>
          <w:p>
            <w:pPr>
              <w:pStyle w:val="Compact"/>
            </w:pPr>
            <w:r>
              <w:t xml:space="preserve">Report</w:t>
            </w:r>
          </w:p>
        </w:tc>
        <w:tc>
          <w:tcPr/>
          <w:p>
            <w:pPr>
              <w:pStyle w:val="Compact"/>
            </w:pPr>
            <w:r>
              <w:t xml:space="preserve">Adjusted EPS</w:t>
            </w:r>
          </w:p>
        </w:tc>
        <w:tc>
          <w:tcPr/>
          <w:p>
            <w:pPr>
              <w:pStyle w:val="Compact"/>
            </w:pPr>
            <w:r>
              <w:t xml:space="preserve">IN-LINE</w:t>
            </w:r>
          </w:p>
        </w:tc>
        <w:tc>
          <w:tcPr/>
          <w:p>
            <w:pPr>
              <w:pStyle w:val="Compact"/>
            </w:pPr>
            <w:r>
              <w:t xml:space="preserve">pred ~$1.82 vs. cons $1.81</w:t>
            </w:r>
          </w:p>
        </w:tc>
        <w:tc>
          <w:tcPr/>
          <w:p>
            <w:pPr>
              <w:pStyle w:val="Compact"/>
            </w:pPr>
            <w:r>
              <w:t xml:space="preserve">MEDIUM</w:t>
            </w:r>
          </w:p>
        </w:tc>
      </w:tr>
      <w:tr>
        <w:tc>
          <w:tcPr/>
          <w:p>
            <w:pPr>
              <w:pStyle w:val="Compact"/>
            </w:pPr>
            <w:r>
              <w:t xml:space="preserve">RSG</w:t>
            </w:r>
          </w:p>
        </w:tc>
        <w:tc>
          <w:tcPr/>
          <w:p>
            <w:pPr>
              <w:pStyle w:val="Compact"/>
            </w:pPr>
            <w:r>
              <w:t xml:space="preserve">Report</w:t>
            </w:r>
          </w:p>
        </w:tc>
        <w:tc>
          <w:tcPr/>
          <w:p>
            <w:pPr>
              <w:pStyle w:val="Compact"/>
            </w:pPr>
            <w:r>
              <w:t xml:space="preserve">Total Revenue</w:t>
            </w:r>
          </w:p>
        </w:tc>
        <w:tc>
          <w:tcPr/>
          <w:p>
            <w:pPr>
              <w:pStyle w:val="Compact"/>
            </w:pPr>
            <w:r>
              <w:t xml:space="preserve">IN-LINE</w:t>
            </w:r>
          </w:p>
        </w:tc>
        <w:tc>
          <w:tcPr/>
          <w:p>
            <w:pPr>
              <w:pStyle w:val="Compact"/>
            </w:pPr>
            <w:r>
              <w:t xml:space="preserve">pred ~$4.41B vs. cons $4.40B</w:t>
            </w:r>
          </w:p>
        </w:tc>
        <w:tc>
          <w:tcPr/>
          <w:p>
            <w:pPr>
              <w:pStyle w:val="Compact"/>
            </w:pPr>
            <w:r>
              <w:t xml:space="preserve">MEDIUM</w:t>
            </w:r>
          </w:p>
        </w:tc>
      </w:tr>
      <w:tr>
        <w:tc>
          <w:tcPr/>
          <w:p>
            <w:pPr>
              <w:pStyle w:val="Compact"/>
            </w:pPr>
            <w:r>
              <w:t xml:space="preserve">RSG</w:t>
            </w:r>
          </w:p>
        </w:tc>
        <w:tc>
          <w:tcPr/>
          <w:p>
            <w:pPr>
              <w:pStyle w:val="Compact"/>
            </w:pPr>
            <w:r>
              <w:t xml:space="preserve">Report</w:t>
            </w:r>
          </w:p>
        </w:tc>
        <w:tc>
          <w:tcPr/>
          <w:p>
            <w:pPr>
              <w:pStyle w:val="Compact"/>
            </w:pPr>
            <w:r>
              <w:t xml:space="preserve">Organic volume growth (total revenue impact)</w:t>
            </w:r>
          </w:p>
        </w:tc>
        <w:tc>
          <w:tcPr/>
          <w:p>
            <w:pPr>
              <w:pStyle w:val="Compact"/>
            </w:pPr>
            <w:r>
              <w:t xml:space="preserve">MISS</w:t>
            </w:r>
          </w:p>
        </w:tc>
        <w:tc>
          <w:tcPr/>
          <w:p>
            <w:pPr>
              <w:pStyle w:val="Compact"/>
            </w:pPr>
            <w:r>
              <w:t xml:space="preserve">pred ~-1.0% vs. cons ~-0.5%</w:t>
            </w:r>
          </w:p>
        </w:tc>
        <w:tc>
          <w:tcPr/>
          <w:p>
            <w:pPr>
              <w:pStyle w:val="Compact"/>
            </w:pPr>
            <w:r>
              <w:t xml:space="preserve">MEDIUM</w:t>
            </w:r>
          </w:p>
        </w:tc>
      </w:tr>
      <w:tr>
        <w:tc>
          <w:tcPr/>
          <w:p>
            <w:pPr>
              <w:pStyle w:val="Compact"/>
            </w:pPr>
            <w:r>
              <w:t xml:space="preserve">RSG</w:t>
            </w:r>
          </w:p>
        </w:tc>
        <w:tc>
          <w:tcPr/>
          <w:p>
            <w:pPr>
              <w:pStyle w:val="Compact"/>
            </w:pPr>
            <w:r>
              <w:t xml:space="preserve">Guide</w:t>
            </w:r>
          </w:p>
        </w:tc>
        <w:tc>
          <w:tcPr/>
          <w:p>
            <w:pPr>
              <w:pStyle w:val="Compact"/>
            </w:pPr>
            <w:r>
              <w:t xml:space="preserve">FY2026 Adjusted EBITDA guidance</w:t>
            </w:r>
          </w:p>
        </w:tc>
        <w:tc>
          <w:tcPr/>
          <w:p>
            <w:pPr>
              <w:pStyle w:val="Compact"/>
            </w:pPr>
            <w:r>
              <w:t xml:space="preserve">UNCHANGED</w:t>
            </w:r>
          </w:p>
        </w:tc>
        <w:tc>
          <w:tcPr/>
          <w:p>
            <w:pPr>
              <w:pStyle w:val="Compact"/>
            </w:pPr>
            <w:r>
              <w:t xml:space="preserve">guide ~$5.50B (reaffirmed midpoint) vs. cons $5.50B (FY2026)</w:t>
            </w:r>
          </w:p>
        </w:tc>
        <w:tc>
          <w:tcPr/>
          <w:p>
            <w:pPr>
              <w:pStyle w:val="Compact"/>
            </w:pPr>
            <w:r>
              <w:t xml:space="preserve">MEDIUM</w:t>
            </w:r>
          </w:p>
        </w:tc>
      </w:tr>
      <w:tr>
        <w:tc>
          <w:tcPr/>
          <w:p>
            <w:pPr>
              <w:pStyle w:val="Compact"/>
            </w:pPr>
            <w:r>
              <w:t xml:space="preserve">RSG</w:t>
            </w:r>
          </w:p>
        </w:tc>
        <w:tc>
          <w:tcPr/>
          <w:p>
            <w:pPr>
              <w:pStyle w:val="Compact"/>
            </w:pPr>
            <w:r>
              <w:t xml:space="preserve">Guide</w:t>
            </w:r>
          </w:p>
        </w:tc>
        <w:tc>
          <w:tcPr/>
          <w:p>
            <w:pPr>
              <w:pStyle w:val="Compact"/>
            </w:pPr>
            <w:r>
              <w:t xml:space="preserve">FY2026 Adjusted EPS guidance</w:t>
            </w:r>
          </w:p>
        </w:tc>
        <w:tc>
          <w:tcPr/>
          <w:p>
            <w:pPr>
              <w:pStyle w:val="Compact"/>
            </w:pPr>
            <w:r>
              <w:t xml:space="preserve">UNCHANGED</w:t>
            </w:r>
          </w:p>
        </w:tc>
        <w:tc>
          <w:tcPr/>
          <w:p>
            <w:pPr>
              <w:pStyle w:val="Compact"/>
            </w:pPr>
            <w:r>
              <w:t xml:space="preserve">guide ~$7.24 (reaffirmed midpoint) vs. cons $7.24 (FY2026)</w:t>
            </w:r>
          </w:p>
        </w:tc>
        <w:tc>
          <w:tcPr/>
          <w:p>
            <w:pPr>
              <w:pStyle w:val="Compact"/>
            </w:pPr>
            <w:r>
              <w:t xml:space="preserve">MEDIUM</w:t>
            </w:r>
          </w:p>
        </w:tc>
      </w:tr>
      <w:tr>
        <w:tc>
          <w:tcPr/>
          <w:p>
            <w:pPr>
              <w:pStyle w:val="Compact"/>
            </w:pPr>
            <w:r>
              <w:t xml:space="preserve">RSG</w:t>
            </w:r>
          </w:p>
        </w:tc>
        <w:tc>
          <w:tcPr/>
          <w:p>
            <w:pPr>
              <w:pStyle w:val="Compact"/>
            </w:pPr>
            <w:r>
              <w:t xml:space="preserve">Guide</w:t>
            </w:r>
          </w:p>
        </w:tc>
        <w:tc>
          <w:tcPr/>
          <w:p>
            <w:pPr>
              <w:pStyle w:val="Compact"/>
            </w:pPr>
            <w:r>
              <w:t xml:space="preserve">Environmental Solutions 2H26 growth commentary</w:t>
            </w:r>
          </w:p>
        </w:tc>
        <w:tc>
          <w:tcPr/>
          <w:p>
            <w:pPr>
              <w:pStyle w:val="Compact"/>
            </w:pPr>
            <w:r>
              <w:t xml:space="preserve">UNCHANGED</w:t>
            </w:r>
          </w:p>
        </w:tc>
        <w:tc>
          <w:tcPr/>
          <w:p>
            <w:pPr>
              <w:pStyle w:val="Compact"/>
            </w:pPr>
            <w:r>
              <w:t xml:space="preserve">guide ~+2% organic growth vs. cons ~+2% (2H FY2026)</w:t>
            </w:r>
          </w:p>
        </w:tc>
        <w:tc>
          <w:tcPr/>
          <w:p>
            <w:pPr>
              <w:pStyle w:val="Compact"/>
            </w:pPr>
            <w:r>
              <w:t xml:space="preserve">LOW</w:t>
            </w:r>
          </w:p>
        </w:tc>
      </w:tr>
      <w:tr>
        <w:tc>
          <w:tcPr/>
          <w:p>
            <w:pPr>
              <w:pStyle w:val="Compact"/>
            </w:pPr>
            <w:r>
              <w:t xml:space="preserve">RSG</w:t>
            </w:r>
          </w:p>
        </w:tc>
        <w:tc>
          <w:tcPr/>
          <w:p>
            <w:pPr>
              <w:pStyle w:val="Compact"/>
            </w:pPr>
            <w:r>
              <w:t xml:space="preserve">Guide</w:t>
            </w:r>
          </w:p>
        </w:tc>
        <w:tc>
          <w:tcPr/>
          <w:p>
            <w:pPr>
              <w:pStyle w:val="Compact"/>
            </w:pPr>
            <w:r>
              <w:t xml:space="preserve">Q3 2026 volume/margin commentary</w:t>
            </w:r>
          </w:p>
        </w:tc>
        <w:tc>
          <w:tcPr/>
          <w:p>
            <w:pPr>
              <w:pStyle w:val="Compact"/>
            </w:pPr>
            <w:r>
              <w:t xml:space="preserve">LOWER</w:t>
            </w:r>
          </w:p>
        </w:tc>
        <w:tc>
          <w:tcPr/>
          <w:p>
            <w:pPr>
              <w:pStyle w:val="Compact"/>
            </w:pPr>
            <w:r>
              <w:t xml:space="preserve">guide ~-1.0% organic volume vs. cons ~-0.5% (Q3 2026)</w:t>
            </w:r>
          </w:p>
        </w:tc>
        <w:tc>
          <w:tcPr/>
          <w:p>
            <w:pPr>
              <w:pStyle w:val="Compact"/>
            </w:pPr>
            <w:r>
              <w:t xml:space="preserve">MEDIUM</w:t>
            </w:r>
          </w:p>
        </w:tc>
      </w:tr>
      <w:tr>
        <w:tc>
          <w:tcPr/>
          <w:p>
            <w:pPr>
              <w:pStyle w:val="Compact"/>
            </w:pPr>
            <w:r>
              <w:t xml:space="preserve">RSG</w:t>
            </w:r>
          </w:p>
        </w:tc>
        <w:tc>
          <w:tcPr/>
          <w:p>
            <w:pPr>
              <w:pStyle w:val="Compact"/>
            </w:pPr>
            <w:r>
              <w:t xml:space="preserve">Return</w:t>
            </w:r>
          </w:p>
        </w:tc>
        <w:tc>
          <w:tcPr/>
          <w:p>
            <w:pPr>
              <w:pStyle w:val="Compact"/>
            </w:pPr>
            <w:r>
              <w:t xml:space="preserve">Day-1 residual (stock − beta × S&amp;P 500)</w:t>
            </w:r>
          </w:p>
        </w:tc>
        <w:tc>
          <w:tcPr/>
          <w:p>
            <w:pPr>
              <w:pStyle w:val="Compact"/>
            </w:pPr>
            <w:r>
              <w:t xml:space="preserve">-2.5%</w:t>
            </w:r>
          </w:p>
        </w:tc>
        <w:tc>
          <w:tcPr/>
          <w:p>
            <w:pPr>
              <w:pStyle w:val="Compact"/>
            </w:pPr>
            <w:r>
              <w:t xml:space="preserve">—</w:t>
            </w:r>
          </w:p>
        </w:tc>
        <w:tc>
          <w:tcPr/>
          <w:p>
            <w:pPr>
              <w:pStyle w:val="Compact"/>
            </w:pPr>
            <w:r>
              <w:t xml:space="preserve">MEDIUM</w:t>
            </w:r>
          </w:p>
        </w:tc>
      </w:tr>
      <w:tr>
        <w:tc>
          <w:tcPr/>
          <w:p>
            <w:pPr>
              <w:pStyle w:val="Compact"/>
            </w:pPr>
            <w:r>
              <w:t xml:space="preserve">RSG</w:t>
            </w:r>
          </w:p>
        </w:tc>
        <w:tc>
          <w:tcPr/>
          <w:p>
            <w:pPr>
              <w:pStyle w:val="Compact"/>
            </w:pPr>
            <w:r>
              <w:t xml:space="preserve">Return</w:t>
            </w:r>
          </w:p>
        </w:tc>
        <w:tc>
          <w:tcPr/>
          <w:p>
            <w:pPr>
              <w:pStyle w:val="Compact"/>
            </w:pPr>
            <w:r>
              <w:t xml:space="preserve">5-day cumulative residual</w:t>
            </w:r>
          </w:p>
        </w:tc>
        <w:tc>
          <w:tcPr/>
          <w:p>
            <w:pPr>
              <w:pStyle w:val="Compact"/>
            </w:pPr>
            <w:r>
              <w:t xml:space="preserve">-3.7% (FOLLOW-THROUGH)</w:t>
            </w:r>
          </w:p>
        </w:tc>
        <w:tc>
          <w:tcPr/>
          <w:p>
            <w:pPr>
              <w:pStyle w:val="Compact"/>
            </w:pPr>
            <w:r>
              <w:t xml:space="preserve">Headline EPS/revenue likely land in-line and FY26 EBITDA/EPS guidance is reaffirmed, but the pre-warned volume softness (residential losses, tough landfill comp) plus a WM-style cautious tone on 2H volume trajectory should trigger sell-side model trims to out-quarter volume and ES-recovery assumptions even without a formal guidance cut — the same 'implicit cut' dynamic that drove WM's shares to keep drifting lower for several sessions after its July 28 print despite reaffirmed EBITDA/FCF targets. With RSG already down ~8% into the print, day-1 reaction should be moderately negative rather than sharp, but analyst estimate revisions over the following days (2H26 ES inflection pushed further out, Q3 volume caution) likely extend the drawdown modestly rather than stabilize or reverse it.</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2026-08-06T01:12:55Z</dcterms:created>
  <dcterms:modified xsi:type="dcterms:W3CDTF">2026-08-06T01:12:55Z</dcterms:modified>
</cp:coreProperties>
</file>

<file path=docProps/custom.xml><?xml version="1.0" encoding="utf-8"?>
<Properties xmlns="http://schemas.openxmlformats.org/officeDocument/2006/custom-properties" xmlns:vt="http://schemas.openxmlformats.org/officeDocument/2006/docPropsVTypes"/>
</file>