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This confirms the labor situation - a localized strike authorization at one Arizona landfill (small scale but worth noting given the historical pattern of Teamsters actions against RSG). Let me also check current stock price and any other pre-earnings analyst commentary.# Republic Services (RSG) — Q2 2026 Earnings Preview</w:t>
      </w:r>
    </w:p>
    <w:p>
      <w:pPr>
        <w:pStyle w:val="BodyText"/>
      </w:pPr>
      <w:r>
        <w:rPr>
          <w:b/>
          <w:bCs/>
        </w:rPr>
        <w:t xml:space="preserve">Report Date:</w:t>
      </w:r>
      <w:r>
        <w:t xml:space="preserve"> </w:t>
      </w:r>
      <w:r>
        <w:t xml:space="preserve">Thursday, August 6, 2026 (after market close) |</w:t>
      </w:r>
      <w:r>
        <w:t xml:space="preserve"> </w:t>
      </w:r>
      <w:r>
        <w:rPr>
          <w:b/>
          <w:bCs/>
        </w:rPr>
        <w:t xml:space="preserve">Call:</w:t>
      </w:r>
      <w:r>
        <w:t xml:space="preserve"> </w:t>
      </w:r>
      <w:r>
        <w:t xml:space="preserve">5:00 p.m. ET</w:t>
      </w:r>
      <w:r>
        <w:t xml:space="preserve"> </w:t>
      </w:r>
      <w:r>
        <w:rPr>
          <w:b/>
          <w:bCs/>
        </w:rPr>
        <w:t xml:space="preserve">Current Price (8/5/26 close):</w:t>
      </w:r>
      <w:r>
        <w:t xml:space="preserve"> </w:t>
      </w:r>
      <w:r>
        <w:t xml:space="preserve">~</w:t>
      </w:r>
      <m:oMath>
        <m:r>
          <m:t>207</m:t>
        </m:r>
        <m:r>
          <m:rPr>
            <m:sty m:val="p"/>
          </m:rPr>
          <m:t>|</m:t>
        </m:r>
        <m:r>
          <m:rPr>
            <m:sty m:val="p"/>
          </m:rPr>
          <m:t>*</m:t>
        </m:r>
        <m:r>
          <m:rPr>
            <m:sty m:val="p"/>
          </m:rPr>
          <m:t>*</m:t>
        </m:r>
        <m:r>
          <m:t>C</m:t>
        </m:r>
        <m:r>
          <m:t>o</m:t>
        </m:r>
        <m:r>
          <m:t>n</m:t>
        </m:r>
        <m:r>
          <m:t>s</m:t>
        </m:r>
        <m:r>
          <m:t>e</m:t>
        </m:r>
        <m:r>
          <m:t>n</m:t>
        </m:r>
        <m:r>
          <m:t>s</m:t>
        </m:r>
        <m:r>
          <m:t>u</m:t>
        </m:r>
        <m:r>
          <m:t>s</m:t>
        </m:r>
        <m:r>
          <m:rPr>
            <m:sty m:val="p"/>
          </m:rPr>
          <m:t>:</m:t>
        </m:r>
        <m:r>
          <m:rPr>
            <m:sty m:val="p"/>
          </m:rPr>
          <m:t>*</m:t>
        </m:r>
        <m:r>
          <m:rPr>
            <m:sty m:val="p"/>
          </m:rPr>
          <m:t>*</m:t>
        </m:r>
        <m:r>
          <m:t>R</m:t>
        </m:r>
        <m:r>
          <m:t>e</m:t>
        </m:r>
        <m:r>
          <m:t>v</m:t>
        </m:r>
        <m:r>
          <m:t>e</m:t>
        </m:r>
        <m:r>
          <m:t>n</m:t>
        </m:r>
        <m:r>
          <m:t>u</m:t>
        </m:r>
        <m:r>
          <m:t>e</m:t>
        </m:r>
        <m:r>
          <m:t> </m:t>
        </m:r>
      </m:oMath>
      <w:r>
        <w:t xml:space="preserve">4.4B, EPS ~$1.81 (vs. $1.77 a year ago)</w:t>
      </w:r>
    </w:p>
    <w:p>
      <w:r>
        <w:pict>
          <v:rect style="width:0;height:1.5pt" o:hralign="center" o:hrstd="t" o:hr="t"/>
        </w:pict>
      </w:r>
    </w:p>
    <w:bookmarkStart w:id="9" w:name="X949bd4f4089bbaccce539b2bd28d75b85935b6a"/>
    <w:p>
      <w:pPr>
        <w:pStyle w:val="Heading2"/>
      </w:pPr>
      <w:r>
        <w:t xml:space="preserve">1. Setup Into the Print</w:t>
      </w:r>
    </w:p>
    <w:p>
      <w:pPr>
        <w:pStyle w:val="FirstParagraph"/>
      </w:pPr>
      <w:r>
        <w:t xml:space="preserve">RSG shares have pulled back roughly 8% from their mid-July high (~</w:t>
      </w:r>
      <m:oMath>
        <m:r>
          <m:t>224</m:t>
        </m:r>
        <m:r>
          <m:rPr>
            <m:sty m:val="p"/>
          </m:rPr>
          <m:t>)</m:t>
        </m:r>
        <m:r>
          <m:t>t</m:t>
        </m:r>
        <m:r>
          <m:t>o</m:t>
        </m:r>
        <m:r>
          <m:t> </m:t>
        </m:r>
      </m:oMath>
      <w:r>
        <w:t xml:space="preserve">207 heading into the print, tracking a broader waste-sector wobble that also hit Waste Management (WM) after its July 28 report. Despite the pullback, sell-side sentiment remains constructive: the stock carries a consensus</w:t>
      </w:r>
      <w:r>
        <w:t xml:space="preserve"> </w:t>
      </w:r>
      <w:r>
        <w:rPr>
          <w:b/>
          <w:bCs/>
        </w:rPr>
        <w:t xml:space="preserve">Buy</w:t>
      </w:r>
      <w:r>
        <w:t xml:space="preserve"> </w:t>
      </w:r>
      <w:r>
        <w:t xml:space="preserve">rating with an average price target near</w:t>
      </w:r>
      <w:r>
        <w:t xml:space="preserve"> </w:t>
      </w:r>
      <w:r>
        <w:rPr>
          <w:b/>
          <w:bCs/>
        </w:rPr>
        <w:t xml:space="preserve">$247-248</w:t>
      </w:r>
      <w:r>
        <w:t xml:space="preserve">, implying meaningful upside if the company simply executes to plan. Analysts expect</w:t>
      </w:r>
      <w:r>
        <w:t xml:space="preserve"> </w:t>
      </w:r>
      <w:r>
        <w:rPr>
          <w:b/>
          <w:bCs/>
        </w:rPr>
        <w:t xml:space="preserve">Q2 EPS of about $1.81</w:t>
      </w:r>
      <w:r>
        <w:t xml:space="preserve"> </w:t>
      </w:r>
      <w:r>
        <w:t xml:space="preserve">(up modestly from</w:t>
      </w:r>
      <w:r>
        <w:t xml:space="preserve"> </w:t>
      </w:r>
      <m:oMath>
        <m:r>
          <m:t>1.77</m:t>
        </m:r>
        <m:r>
          <m:t>a</m:t>
        </m:r>
        <m:r>
          <m:t>y</m:t>
        </m:r>
        <m:r>
          <m:t>e</m:t>
        </m:r>
        <m:r>
          <m:t>a</m:t>
        </m:r>
        <m:r>
          <m:t>r</m:t>
        </m:r>
        <m:r>
          <m:t>a</m:t>
        </m:r>
        <m:r>
          <m:t>g</m:t>
        </m:r>
        <m:r>
          <m:t>o</m:t>
        </m:r>
        <m:r>
          <m:rPr>
            <m:sty m:val="p"/>
          </m:rPr>
          <m:t>)</m:t>
        </m:r>
        <m:r>
          <m:t>o</m:t>
        </m:r>
        <m:r>
          <m:t>n</m:t>
        </m:r>
        <m:r>
          <m:t>r</m:t>
        </m:r>
        <m:r>
          <m:t>e</m:t>
        </m:r>
        <m:r>
          <m:t>v</m:t>
        </m:r>
        <m:r>
          <m:t>e</m:t>
        </m:r>
        <m:r>
          <m:t>n</m:t>
        </m:r>
        <m:r>
          <m:t>u</m:t>
        </m:r>
        <m:r>
          <m:t>e</m:t>
        </m:r>
        <m:r>
          <m:t>o</m:t>
        </m:r>
        <m:r>
          <m:t>f</m:t>
        </m:r>
        <m:r>
          <m:t>r</m:t>
        </m:r>
        <m:r>
          <m:t>o</m:t>
        </m:r>
        <m:r>
          <m:t>u</m:t>
        </m:r>
        <m:r>
          <m:t>g</m:t>
        </m:r>
        <m:r>
          <m:t>h</m:t>
        </m:r>
        <m:r>
          <m:t>l</m:t>
        </m:r>
        <m:r>
          <m:t>y</m:t>
        </m:r>
        <m:r>
          <m:rPr>
            <m:sty m:val="p"/>
          </m:rPr>
          <m:t>*</m:t>
        </m:r>
        <m:r>
          <m:rPr>
            <m:sty m:val="p"/>
          </m:rPr>
          <m:t>*</m:t>
        </m:r>
      </m:oMath>
      <w:r>
        <w:t xml:space="preserve">4.4 billion**.</w:t>
      </w:r>
    </w:p>
    <w:p>
      <w:pPr>
        <w:pStyle w:val="BodyText"/>
      </w:pPr>
      <w:r>
        <w:t xml:space="preserve">Two fresh, potentially market-moving items landed just before the quarter closes out:</w:t>
      </w:r>
    </w:p>
    <w:p>
      <w:pPr>
        <w:pStyle w:val="Compact"/>
        <w:numPr>
          <w:ilvl w:val="0"/>
          <w:numId w:val="1001"/>
        </w:numPr>
      </w:pPr>
      <w:r>
        <w:rPr>
          <w:b/>
          <w:bCs/>
        </w:rPr>
        <w:t xml:space="preserve">Dividend hike:</w:t>
      </w:r>
      <w:r>
        <w:t xml:space="preserve"> </w:t>
      </w:r>
      <w:r>
        <w:t xml:space="preserve">On July 28, RSG's board raised the quarterly dividend by 4.5 cents to</w:t>
      </w:r>
      <w:r>
        <w:t xml:space="preserve"> </w:t>
      </w:r>
      <w:r>
        <w:rPr>
          <w:b/>
          <w:bCs/>
        </w:rPr>
        <w:t xml:space="preserve">$0.670/share</w:t>
      </w:r>
      <w:r>
        <w:t xml:space="preserve"> </w:t>
      </w:r>
      <w:r>
        <w:t xml:space="preserve">(payable Oct. 15), continuing its multi-decade streak of annual increases — a signal of confidence in free cash flow generation heading into the print.</w:t>
      </w:r>
    </w:p>
    <w:p>
      <w:pPr>
        <w:pStyle w:val="Compact"/>
        <w:numPr>
          <w:ilvl w:val="0"/>
          <w:numId w:val="1001"/>
        </w:numPr>
      </w:pPr>
      <w:r>
        <w:rPr>
          <w:b/>
          <w:bCs/>
        </w:rPr>
        <w:t xml:space="preserve">Labor flare-up:</w:t>
      </w:r>
      <w:r>
        <w:t xml:space="preserve"> </w:t>
      </w:r>
      <w:r>
        <w:t xml:space="preserve">Teamsters Local 104 workers at RSG's Southwest Regional Landfill in Buckeye, Arizona</w:t>
      </w:r>
      <w:r>
        <w:t xml:space="preserve"> </w:t>
      </w:r>
      <w:r>
        <w:rPr>
          <w:b/>
          <w:bCs/>
        </w:rPr>
        <w:t xml:space="preserve">unanimously authorized a strike</w:t>
      </w:r>
      <w:r>
        <w:t xml:space="preserve"> </w:t>
      </w:r>
      <w:r>
        <w:t xml:space="preserve">on July 29 amid first-contract negotiations, alongside an unfair-labor-practice charge. This is a localized action (single facility) rather than a company-wide risk, but it comes on the heels of last year's high-profile multistate Teamsters disputes, so expect analysts to probe for contagion risk on the call.</w:t>
      </w:r>
    </w:p>
    <w:p>
      <w:r>
        <w:pict>
          <v:rect style="width:0;height:1.5pt" o:hralign="center" o:hrstd="t" o:hr="t"/>
        </w:pict>
      </w:r>
    </w:p>
    <w:bookmarkEnd w:id="9"/>
    <w:bookmarkStart w:id="10" w:name="Xb0bfc517ad0b1340e14b56fd2a832bbe24196f0"/>
    <w:p>
      <w:pPr>
        <w:pStyle w:val="Heading2"/>
      </w:pPr>
      <w:r>
        <w:t xml:space="preserve">2. What Happened Last Quarter (Q1 2026) — The Baseline</w:t>
      </w:r>
    </w:p>
    <w:p>
      <w:pPr>
        <w:pStyle w:val="FirstParagraph"/>
      </w:pPr>
      <w:r>
        <w:t xml:space="preserve">Republic's Q1 2026 results, reported May 7, showed the business tracking to plan: Republic Services delivered strong earnings growth and expanded margins, all overcoming lower commodity prices and the impact of higher fuel prices during the quarter. Specifically:</w:t>
      </w:r>
    </w:p>
    <w:p>
      <w:pPr>
        <w:pStyle w:val="Compact"/>
        <w:numPr>
          <w:ilvl w:val="0"/>
          <w:numId w:val="1002"/>
        </w:numPr>
      </w:pPr>
      <w:r>
        <w:t xml:space="preserve">Revenue growth of 2.6%, adjusted EBITDA growth of 4.3%, adjusted EBITDA margin expansion of 50 basis points, adjusted EPS of $1.70 and $984 million of adjusted free cash flow.</w:t>
      </w:r>
    </w:p>
    <w:p>
      <w:pPr>
        <w:pStyle w:val="Compact"/>
        <w:numPr>
          <w:ilvl w:val="0"/>
          <w:numId w:val="1002"/>
        </w:numPr>
      </w:pPr>
      <w:r>
        <w:t xml:space="preserve">Average yields on related revenue was 4.1% and average yield on total revenue was 3.4%. Organic volume decreased related revenue by 1% or total revenue by 80 basis points, though volume performance improved sequentially, most notably in the landfill, large container and small container verticals, including the</w:t>
      </w:r>
      <w:r>
        <w:t xml:space="preserve"> </w:t>
      </w:r>
      <w:r>
        <w:rPr>
          <w:b/>
          <w:bCs/>
        </w:rPr>
        <w:t xml:space="preserve">first year-over-year growth in temporary large container business in over two years</w:t>
      </w:r>
      <w:r>
        <w:t xml:space="preserve">.</w:t>
      </w:r>
    </w:p>
    <w:p>
      <w:pPr>
        <w:pStyle w:val="Compact"/>
        <w:numPr>
          <w:ilvl w:val="0"/>
          <w:numId w:val="1002"/>
        </w:numPr>
      </w:pPr>
      <w:r>
        <w:t xml:space="preserve">Environmental Solutions (ES) remained a drag: organic revenue in the Environmental Solutions business decreased total revenue by 1.3% in the first quarter... More than 1/3 of this decrease... related to an emergency response job in 2025 that did not repeat, but management guided to</w:t>
      </w:r>
      <w:r>
        <w:t xml:space="preserve"> </w:t>
      </w:r>
      <w:r>
        <w:rPr>
          <w:b/>
          <w:bCs/>
        </w:rPr>
        <w:t xml:space="preserve">year-over-year ES growth returning in the second half of 2026</w:t>
      </w:r>
      <w:r>
        <w:t xml:space="preserve">.</w:t>
      </w:r>
    </w:p>
    <w:p>
      <w:pPr>
        <w:pStyle w:val="Compact"/>
        <w:numPr>
          <w:ilvl w:val="0"/>
          <w:numId w:val="1002"/>
        </w:numPr>
      </w:pPr>
      <w:r>
        <w:t xml:space="preserve">Recycled commodity prices were soft —</w:t>
      </w:r>
      <w:r>
        <w:t xml:space="preserve"> </w:t>
      </w:r>
      <w:r>
        <w:rPr>
          <w:b/>
          <w:bCs/>
        </w:rPr>
        <w:t xml:space="preserve">$120/ton in Q1</w:t>
      </w:r>
      <w:r>
        <w:t xml:space="preserve"> </w:t>
      </w:r>
      <w:r>
        <w:t xml:space="preserve">vs.</w:t>
      </w:r>
      <w:r>
        <w:t xml:space="preserve"> </w:t>
      </w:r>
      <m:oMath>
        <m:r>
          <m:t>155</m:t>
        </m:r>
        <m:r>
          <m:rPr>
            <m:sty m:val="p"/>
          </m:rPr>
          <m:t>/</m:t>
        </m:r>
        <m:r>
          <m:t>t</m:t>
        </m:r>
        <m:r>
          <m:t>o</m:t>
        </m:r>
        <m:r>
          <m:t>n</m:t>
        </m:r>
        <m:r>
          <m:t>a</m:t>
        </m:r>
        <m:r>
          <m:t>y</m:t>
        </m:r>
        <m:r>
          <m:t>e</m:t>
        </m:r>
        <m:r>
          <m:t>a</m:t>
        </m:r>
        <m:r>
          <m:t>r</m:t>
        </m:r>
        <m:r>
          <m:t>a</m:t>
        </m:r>
        <m:r>
          <m:t>g</m:t>
        </m:r>
        <m:r>
          <m:t>o</m:t>
        </m:r>
        <m:r>
          <m:rPr>
            <m:sty m:val="p"/>
          </m:rPr>
          <m:t>—</m:t>
        </m:r>
        <m:r>
          <m:t>w</m:t>
        </m:r>
        <m:r>
          <m:t>i</m:t>
        </m:r>
        <m:r>
          <m:t>t</m:t>
        </m:r>
        <m:r>
          <m:t>h</m:t>
        </m:r>
        <m:r>
          <m:t>c</m:t>
        </m:r>
        <m:r>
          <m:t>u</m:t>
        </m:r>
        <m:r>
          <m:t>r</m:t>
        </m:r>
        <m:r>
          <m:t>r</m:t>
        </m:r>
        <m:r>
          <m:t>e</m:t>
        </m:r>
        <m:r>
          <m:t>n</m:t>
        </m:r>
        <m:r>
          <m:t>t</m:t>
        </m:r>
        <m:r>
          <m:t>p</m:t>
        </m:r>
        <m:r>
          <m:t>r</m:t>
        </m:r>
        <m:r>
          <m:t>i</m:t>
        </m:r>
        <m:r>
          <m:t>c</m:t>
        </m:r>
        <m:r>
          <m:t>i</m:t>
        </m:r>
        <m:r>
          <m:t>n</m:t>
        </m:r>
        <m:r>
          <m:t>g</m:t>
        </m:r>
        <m:r>
          <m:t>a</m:t>
        </m:r>
        <m:r>
          <m:t>r</m:t>
        </m:r>
        <m:r>
          <m:t>o</m:t>
        </m:r>
        <m:r>
          <m:t>u</m:t>
        </m:r>
        <m:r>
          <m:t>n</m:t>
        </m:r>
        <m:r>
          <m:t>d</m:t>
        </m:r>
        <m:r>
          <m:rPr>
            <m:sty m:val="p"/>
          </m:rPr>
          <m:t>*</m:t>
        </m:r>
        <m:r>
          <m:rPr>
            <m:sty m:val="p"/>
          </m:rPr>
          <m:t>*</m:t>
        </m:r>
      </m:oMath>
      <w:r>
        <w:t xml:space="preserve">125/ton**.</w:t>
      </w:r>
    </w:p>
    <w:p>
      <w:pPr>
        <w:pStyle w:val="Compact"/>
        <w:numPr>
          <w:ilvl w:val="0"/>
          <w:numId w:val="1002"/>
        </w:numPr>
      </w:pPr>
      <w:r>
        <w:t xml:space="preserve">Fuel was a modest headwind: the sharp increase in diesel prices in March negatively impacted EBITDA performance by $8 million... Our fuel recovery fee tends to lag changes in fuel expense by approximately 1 month. We expect fuel recovery fees to offset higher fuel costs beginning in the second quarter — directly relevant to what to watch in Q2.</w:t>
      </w:r>
    </w:p>
    <w:p>
      <w:r>
        <w:pict>
          <v:rect style="width:0;height:1.5pt" o:hralign="center" o:hrstd="t" o:hr="t"/>
        </w:pict>
      </w:r>
    </w:p>
    <w:bookmarkEnd w:id="10"/>
    <w:bookmarkStart w:id="11" w:name="X87291ee116a23f392c8a33828a2bba205294217"/>
    <w:p>
      <w:pPr>
        <w:pStyle w:val="Heading2"/>
      </w:pPr>
      <w:r>
        <w:t xml:space="preserve">3. Management's Own Roadmap for Q2 — The Key Benchmark</w:t>
      </w:r>
    </w:p>
    <w:p>
      <w:pPr>
        <w:pStyle w:val="FirstParagraph"/>
      </w:pPr>
      <w:r>
        <w:t xml:space="preserve">On the Q1 call, CFO Brian DelGhiaccio gave unusually specific Q2 guardrails that investors should hold management to:</w:t>
      </w:r>
    </w:p>
    <w:p>
      <w:pPr>
        <w:pStyle w:val="Compact"/>
        <w:numPr>
          <w:ilvl w:val="0"/>
          <w:numId w:val="1003"/>
        </w:numPr>
      </w:pPr>
      <w:r>
        <w:rPr>
          <w:b/>
          <w:bCs/>
        </w:rPr>
        <w:t xml:space="preserve">Margins:</w:t>
      </w:r>
      <w:r>
        <w:t xml:space="preserve"> </w:t>
      </w:r>
      <w:r>
        <w:t xml:space="preserve">from a margin perspective, somewhat flat to slightly down on a year-over-year basis, largely due to some of the project-related landfill volumes... margin expansion in the underlying business, excluding the impact of those volumes. This reflects a tough comp against 2025's wildfire/hurricane-related landfill volumes.</w:t>
      </w:r>
    </w:p>
    <w:p>
      <w:pPr>
        <w:pStyle w:val="Compact"/>
        <w:numPr>
          <w:ilvl w:val="0"/>
          <w:numId w:val="1003"/>
        </w:numPr>
      </w:pPr>
      <w:r>
        <w:rPr>
          <w:b/>
          <w:bCs/>
        </w:rPr>
        <w:t xml:space="preserve">Volume:</w:t>
      </w:r>
      <w:r>
        <w:t xml:space="preserve"> </w:t>
      </w:r>
      <w:r>
        <w:t xml:space="preserve">that's going to have a negative impact on volume performance which is exactly what we thought when we entered the year — negative in both Q2 and Q3, flipping to positive then in the fourth quarter.</w:t>
      </w:r>
    </w:p>
    <w:p>
      <w:pPr>
        <w:pStyle w:val="Compact"/>
        <w:numPr>
          <w:ilvl w:val="0"/>
          <w:numId w:val="1003"/>
        </w:numPr>
      </w:pPr>
      <w:r>
        <w:rPr>
          <w:b/>
          <w:bCs/>
        </w:rPr>
        <w:t xml:space="preserve">Fuel:</w:t>
      </w:r>
      <w:r>
        <w:t xml:space="preserve"> </w:t>
      </w:r>
      <w:r>
        <w:t xml:space="preserve">Recovery fees should finally catch up to costs, turning a Q1 drag into a more neutral-to-positive item.</w:t>
      </w:r>
    </w:p>
    <w:p>
      <w:pPr>
        <w:pStyle w:val="Compact"/>
        <w:numPr>
          <w:ilvl w:val="0"/>
          <w:numId w:val="1003"/>
        </w:numPr>
      </w:pPr>
      <w:r>
        <w:rPr>
          <w:b/>
          <w:bCs/>
        </w:rPr>
        <w:t xml:space="preserve">Green shoots:</w:t>
      </w:r>
      <w:r>
        <w:t xml:space="preserve"> </w:t>
      </w:r>
      <w:r>
        <w:t xml:space="preserve">we're starting to see some underlying momentum... Special waste has been particularly strong, and we're seeing some momentum month over month in the first quarter... versus 3 months ago, I'd say we're slightly more positive on where the macro is looking — watch for confirmation or walk-back of this tone.</w:t>
      </w:r>
    </w:p>
    <w:p>
      <w:pPr>
        <w:pStyle w:val="Compact"/>
        <w:numPr>
          <w:ilvl w:val="0"/>
          <w:numId w:val="1003"/>
        </w:numPr>
      </w:pPr>
      <w:r>
        <w:rPr>
          <w:b/>
          <w:bCs/>
        </w:rPr>
        <w:t xml:space="preserve">Residential shedding:</w:t>
      </w:r>
      <w:r>
        <w:t xml:space="preserve"> </w:t>
      </w:r>
      <w:r>
        <w:t xml:space="preserve">you'll see it pretty consistent across the year. The big driver there in residential was 3 larger contracts that we lost... you'll see those numbers pretty consistent across the year, slight improvement in the second half.</w:t>
      </w:r>
    </w:p>
    <w:p>
      <w:pPr>
        <w:pStyle w:val="FirstParagraph"/>
      </w:pPr>
      <w:r>
        <w:rPr>
          <w:b/>
          <w:bCs/>
        </w:rPr>
        <w:t xml:space="preserve">Bottom line:</w:t>
      </w:r>
      <w:r>
        <w:t xml:space="preserve"> </w:t>
      </w:r>
      <w:r>
        <w:t xml:space="preserve">the bar for Q2 is deliberately set low on margin and volume — management pre-warned of a tough landfill/ES comp. A "beat" here is really about underlying (ex-landfill-comp) margin expansion, ES sequential improvement, and continued volume "green shoots," not necessarily headline EBITDA margin growth.</w:t>
      </w:r>
    </w:p>
    <w:p>
      <w:r>
        <w:pict>
          <v:rect style="width:0;height:1.5pt" o:hralign="center" o:hrstd="t" o:hr="t"/>
        </w:pict>
      </w:r>
    </w:p>
    <w:bookmarkEnd w:id="11"/>
    <w:bookmarkStart w:id="12" w:name="Xb2b96608dd33add0eb94f778dfffb4100235214"/>
    <w:p>
      <w:pPr>
        <w:pStyle w:val="Heading2"/>
      </w:pPr>
      <w:r>
        <w:t xml:space="preserve">4. FY2026 Guidance Context (Set in February)</w:t>
      </w:r>
    </w:p>
    <w:p>
      <w:pPr>
        <w:pStyle w:val="FirstParagraph"/>
      </w:pPr>
      <w:r>
        <w:t xml:space="preserve">At Q4 2025 results, RSG guided FY2026 to: full range revenue in a range of $17.05 billion to $17.15 billion. Adjusted EBITDA is expected to be in the range of $5.475 billion to $5.525 billion... adjusted earnings per share in a range of $7.20 to $7.28... adjusted free cash flow in a range of $2.52 billion to $2.56 billion. Management noted that stripping out the 2025 wildfire/hurricane landfill comp, the midpoint of our 2026 guidance would indicate nearly a 4% top line growth, more than 5% growth in adjusted EBITDA, 50 basis points of EBITDA margin expansion, approximately 6% growth in adjusted earnings per share and 7% growth in adjusted free cash flow. Given Q1 tracked in line, expect management to</w:t>
      </w:r>
      <w:r>
        <w:t xml:space="preserve"> </w:t>
      </w:r>
      <w:r>
        <w:rPr>
          <w:b/>
          <w:bCs/>
        </w:rPr>
        <w:t xml:space="preserve">reaffirm</w:t>
      </w:r>
      <w:r>
        <w:t xml:space="preserve"> </w:t>
      </w:r>
      <w:r>
        <w:t xml:space="preserve">full-year guidance rather than raise it at this stage — the real second-half catalysts (ES recovery, digital/AI benefits, RNG/polymer ramp) are still ahead.</w:t>
      </w:r>
    </w:p>
    <w:p>
      <w:r>
        <w:pict>
          <v:rect style="width:0;height:1.5pt" o:hralign="center" o:hrstd="t" o:hr="t"/>
        </w:pict>
      </w:r>
    </w:p>
    <w:bookmarkEnd w:id="12"/>
    <w:bookmarkStart w:id="13" w:name="X290c738bf7f87a830d7160134886eb6dd2ce3cd"/>
    <w:p>
      <w:pPr>
        <w:pStyle w:val="Heading2"/>
      </w:pPr>
      <w:r>
        <w:t xml:space="preserve">5. Key Themes to Watch on the Call</w:t>
      </w:r>
    </w:p>
    <w:p>
      <w:pPr>
        <w:pStyle w:val="FirstParagraph"/>
      </w:pPr>
      <w:r>
        <w:rPr>
          <w:b/>
          <w:bCs/>
        </w:rPr>
        <w:t xml:space="preserve">a) Environmental Solutions inflection.</w:t>
      </w:r>
      <w:r>
        <w:t xml:space="preserve"> </w:t>
      </w:r>
      <w:r>
        <w:t xml:space="preserve">This has been the weak link for over a year. Watch for confirmation that the sales pipeline conversion (noted as a "longer sales cycle" business) is translating into actual second-half revenue growth, and whether emergency-response activity — described as unusually soft over the trailing 18-24 months — is normalizing.</w:t>
      </w:r>
    </w:p>
    <w:p>
      <w:pPr>
        <w:pStyle w:val="BodyText"/>
      </w:pPr>
      <w:r>
        <w:rPr>
          <w:b/>
          <w:bCs/>
        </w:rPr>
        <w:t xml:space="preserve">b) Digital/AI monetization.</w:t>
      </w:r>
      <w:r>
        <w:t xml:space="preserve"> </w:t>
      </w:r>
      <w:r>
        <w:t xml:space="preserve">Management flagged investments in digital will deliver at least $100 million of annual benefit by 2028, split across pricing (earliest benefit, ramping in 2026-28), RISE routing platform (minimal 2026 impact, scaling 2027-28), and customer service/call-center AI. Investors should listen for any acceleration or timeline changes.</w:t>
      </w:r>
    </w:p>
    <w:p>
      <w:pPr>
        <w:pStyle w:val="BodyText"/>
      </w:pPr>
      <w:r>
        <w:rPr>
          <w:b/>
          <w:bCs/>
        </w:rPr>
        <w:t xml:space="preserve">c) Capital deployment.</w:t>
      </w:r>
      <w:r>
        <w:t xml:space="preserve"> </w:t>
      </w:r>
      <w:r>
        <w:t xml:space="preserve">RSG has been aggressive on M&amp;A: invested more than $700 million in value-creating acquisitions to date, which includes $433 million of investment in the first quarter... We expect to exceed $1 billion of acquisition investment this year, alongside</w:t>
      </w:r>
      <w:r>
        <w:t xml:space="preserve"> </w:t>
      </w:r>
      <m:oMath>
        <m:r>
          <m:t>507</m:t>
        </m:r>
        <m:r>
          <m:t>m</m:t>
        </m:r>
        <m:r>
          <m:t>i</m:t>
        </m:r>
        <m:r>
          <m:t>l</m:t>
        </m:r>
        <m:r>
          <m:t>l</m:t>
        </m:r>
        <m:r>
          <m:t>i</m:t>
        </m:r>
        <m:r>
          <m:t>o</m:t>
        </m:r>
        <m:r>
          <m:t>n</m:t>
        </m:r>
        <m:r>
          <m:t>r</m:t>
        </m:r>
        <m:r>
          <m:t>e</m:t>
        </m:r>
        <m:r>
          <m:t>t</m:t>
        </m:r>
        <m:r>
          <m:t>u</m:t>
        </m:r>
        <m:r>
          <m:t>r</m:t>
        </m:r>
        <m:r>
          <m:t>n</m:t>
        </m:r>
        <m:r>
          <m:t>e</m:t>
        </m:r>
        <m:r>
          <m:t>d</m:t>
        </m:r>
        <m:r>
          <m:t>t</m:t>
        </m:r>
        <m:r>
          <m:t>o</m:t>
        </m:r>
        <m:r>
          <m:t>s</m:t>
        </m:r>
        <m:r>
          <m:t>h</m:t>
        </m:r>
        <m:r>
          <m:t>a</m:t>
        </m:r>
        <m:r>
          <m:t>r</m:t>
        </m:r>
        <m:r>
          <m:t>e</m:t>
        </m:r>
        <m:r>
          <m:t>h</m:t>
        </m:r>
        <m:r>
          <m:t>o</m:t>
        </m:r>
        <m:r>
          <m:t>l</m:t>
        </m:r>
        <m:r>
          <m:t>d</m:t>
        </m:r>
        <m:r>
          <m:t>e</m:t>
        </m:r>
        <m:r>
          <m:t>r</m:t>
        </m:r>
        <m:r>
          <m:t>s</m:t>
        </m:r>
        <m:r>
          <m:t>i</m:t>
        </m:r>
        <m:r>
          <m:t>n</m:t>
        </m:r>
        <m:r>
          <m:t>Q</m:t>
        </m:r>
        <m:r>
          <m:t>1</m:t>
        </m:r>
        <m:r>
          <m:t>a</m:t>
        </m:r>
        <m:r>
          <m:t>l</m:t>
        </m:r>
        <m:r>
          <m:t>o</m:t>
        </m:r>
        <m:r>
          <m:t>n</m:t>
        </m:r>
        <m:r>
          <m:t>e</m:t>
        </m:r>
        <m:r>
          <m:rPr>
            <m:sty m:val="p"/>
          </m:rPr>
          <m:t>(</m:t>
        </m:r>
      </m:oMath>
      <w:r>
        <w:t xml:space="preserve">314M buybacks, $193M dividends). Watch for an updated pipeline read and mix between recycling/waste and Environmental Solutions targets.</w:t>
      </w:r>
    </w:p>
    <w:p>
      <w:pPr>
        <w:pStyle w:val="BodyText"/>
      </w:pPr>
      <w:r>
        <w:rPr>
          <w:b/>
          <w:bCs/>
        </w:rPr>
        <w:t xml:space="preserve">d) Recycling commodities and plastics.</w:t>
      </w:r>
      <w:r>
        <w:t xml:space="preserve"> </w:t>
      </w:r>
      <w:r>
        <w:t xml:space="preserve">Commodity prices remain well below prior-year levels (~$125/ton currently vs. $155/ton a year ago), though management noted improving PET spreads at its polymer centers and Blue Polymers JV as global supply dynamics shift. This remains a modest margin swing factor each quarter.</w:t>
      </w:r>
    </w:p>
    <w:p>
      <w:pPr>
        <w:pStyle w:val="BodyText"/>
      </w:pPr>
      <w:r>
        <w:rPr>
          <w:b/>
          <w:bCs/>
        </w:rPr>
        <w:t xml:space="preserve">e) Sustainability build-out.</w:t>
      </w:r>
      <w:r>
        <w:t xml:space="preserve"> </w:t>
      </w:r>
      <w:r>
        <w:t xml:space="preserve">RNG (targeting</w:t>
      </w:r>
      <w:r>
        <w:t xml:space="preserve"> </w:t>
      </w:r>
      <m:oMath>
        <m:r>
          <m:t>100</m:t>
        </m:r>
        <m:r>
          <m:rPr>
            <m:sty m:val="p"/>
          </m:rPr>
          <m:t>−</m:t>
        </m:r>
        <m:r>
          <m:t>120</m:t>
        </m:r>
        <m:r>
          <m:t>M</m:t>
        </m:r>
        <m:r>
          <m:t>r</m:t>
        </m:r>
        <m:r>
          <m:t>u</m:t>
        </m:r>
        <m:r>
          <m:t>n</m:t>
        </m:r>
        <m:r>
          <m:rPr>
            <m:sty m:val="p"/>
          </m:rPr>
          <m:t>−</m:t>
        </m:r>
        <m:r>
          <m:t>r</m:t>
        </m:r>
        <m:r>
          <m:t>a</m:t>
        </m:r>
        <m:r>
          <m:t>t</m:t>
        </m:r>
        <m:r>
          <m:t>e</m:t>
        </m:r>
        <m:r>
          <m:t>E</m:t>
        </m:r>
        <m:r>
          <m:t>B</m:t>
        </m:r>
        <m:r>
          <m:t>I</m:t>
        </m:r>
        <m:r>
          <m:t>T</m:t>
        </m:r>
        <m:r>
          <m:t>D</m:t>
        </m:r>
        <m:r>
          <m:t>A</m:t>
        </m:r>
        <m:r>
          <m:t>b</m:t>
        </m:r>
        <m:r>
          <m:t>y</m:t>
        </m:r>
        <m:r>
          <m:t>d</m:t>
        </m:r>
        <m:r>
          <m:t>e</m:t>
        </m:r>
        <m:r>
          <m:t>c</m:t>
        </m:r>
        <m:r>
          <m:t>a</m:t>
        </m:r>
        <m:r>
          <m:t>d</m:t>
        </m:r>
        <m:sSup>
          <m:e>
            <m:r>
              <m:t>e</m:t>
            </m:r>
          </m:e>
          <m:sup>
            <m:r>
              <m:rPr>
                <m:sty m:val="p"/>
              </m:rPr>
              <m:t>′</m:t>
            </m:r>
          </m:sup>
        </m:sSup>
        <m:r>
          <m:t>s</m:t>
        </m:r>
        <m:r>
          <m:t>e</m:t>
        </m:r>
        <m:r>
          <m:t>n</m:t>
        </m:r>
        <m:r>
          <m:t>d</m:t>
        </m:r>
        <m:r>
          <m:rPr>
            <m:sty m:val="p"/>
          </m:rPr>
          <m:t>,</m:t>
        </m:r>
        <m:r>
          <m:t> </m:t>
        </m:r>
      </m:oMath>
      <w:r>
        <w:t xml:space="preserve">10M incremental EBITDA expected in 2026) and EV fleet expansion (guided to exit 2026 with 300+ electric collection trucks) are long-duration, low-quarterly-impact stories, but useful for gauging execution consistency.</w:t>
      </w:r>
    </w:p>
    <w:p>
      <w:pPr>
        <w:pStyle w:val="BodyText"/>
      </w:pPr>
      <w:r>
        <w:rPr>
          <w:b/>
          <w:bCs/>
        </w:rPr>
        <w:t xml:space="preserve">f) Peer read-through from WM.</w:t>
      </w:r>
      <w:r>
        <w:t xml:space="preserve"> </w:t>
      </w:r>
      <w:r>
        <w:t xml:space="preserve">WM's Q2 2026 results (reported July 28) showed revenue grew 4.0%, driven by core price of 5.7%... Collection and Disposal volume declined 1.8%, primarily due to wildfire cleanup activities that benefited the prior year period, and WM</w:t>
      </w:r>
      <w:r>
        <w:t xml:space="preserve"> </w:t>
      </w:r>
      <w:r>
        <w:rPr>
          <w:b/>
          <w:bCs/>
        </w:rPr>
        <w:t xml:space="preserve">trimmed its full-year revenue outlook</w:t>
      </w:r>
      <w:r>
        <w:t xml:space="preserve"> </w:t>
      </w:r>
      <w:r>
        <w:t xml:space="preserve">by about 0.6% primarily driven by lower volume expectations, partially offset by higher energy surcharges, while reaffirming EBITDA/FCF targets and raising the margin outlook. Both WM and RSG stocks sold off after WM's print, suggesting the market is sensitive to any incremental volume-guidance softness even when profitability targets hold — a dynamic RSG could face too if it flags similar volume conservatism.</w:t>
      </w:r>
    </w:p>
    <w:p>
      <w:r>
        <w:pict>
          <v:rect style="width:0;height:1.5pt" o:hralign="center" o:hrstd="t" o:hr="t"/>
        </w:pict>
      </w:r>
    </w:p>
    <w:bookmarkEnd w:id="13"/>
    <w:bookmarkStart w:id="14" w:name="Xb27a69da96f7243bfd1e0e0b1fe2842872b9820"/>
    <w:p>
      <w:pPr>
        <w:pStyle w:val="Heading2"/>
      </w:pPr>
      <w:r>
        <w:t xml:space="preserve">6. Risks to Frame Going In</w:t>
      </w:r>
    </w:p>
    <w:p>
      <w:pPr>
        <w:pStyle w:val="Compact"/>
        <w:numPr>
          <w:ilvl w:val="0"/>
          <w:numId w:val="1004"/>
        </w:numPr>
      </w:pPr>
      <w:r>
        <w:rPr>
          <w:b/>
          <w:bCs/>
        </w:rPr>
        <w:t xml:space="preserve">Labor:</w:t>
      </w:r>
      <w:r>
        <w:t xml:space="preserve"> </w:t>
      </w:r>
      <w:r>
        <w:t xml:space="preserve">The new Arizona strike authorization, while localized, keeps labor relations in the headlines after 2025's high-profile Teamsters actions; a broader work stoppage would be a tail risk to landfill/collection operations.</w:t>
      </w:r>
    </w:p>
    <w:p>
      <w:pPr>
        <w:pStyle w:val="Compact"/>
        <w:numPr>
          <w:ilvl w:val="0"/>
          <w:numId w:val="1004"/>
        </w:numPr>
      </w:pPr>
      <w:r>
        <w:rPr>
          <w:b/>
          <w:bCs/>
        </w:rPr>
        <w:t xml:space="preserve">Macro/volume:</w:t>
      </w:r>
      <w:r>
        <w:t xml:space="preserve"> </w:t>
      </w:r>
      <w:r>
        <w:t xml:space="preserve">Management has repeatedly cited macro uncertainty (geopolitical conflicts, oil prices, tariff-driven capex paralysis in manufacturing/construction) as reasons to stay conservative on volume — any incremental caution here could pressure the stock, as seen with WM.</w:t>
      </w:r>
    </w:p>
    <w:p>
      <w:pPr>
        <w:pStyle w:val="Compact"/>
        <w:numPr>
          <w:ilvl w:val="0"/>
          <w:numId w:val="1004"/>
        </w:numPr>
      </w:pPr>
      <w:r>
        <w:rPr>
          <w:b/>
          <w:bCs/>
        </w:rPr>
        <w:t xml:space="preserve">Commodity/fuel swing factors:</w:t>
      </w:r>
      <w:r>
        <w:t xml:space="preserve"> </w:t>
      </w:r>
      <w:r>
        <w:t xml:space="preserve">Recycled commodity prices and fuel costs remain modest but real quarterly swing factors on margin, even though the fuel recovery fee should now be catching up.</w:t>
      </w:r>
    </w:p>
    <w:p>
      <w:pPr>
        <w:pStyle w:val="Compact"/>
        <w:numPr>
          <w:ilvl w:val="0"/>
          <w:numId w:val="1004"/>
        </w:numPr>
      </w:pPr>
      <w:r>
        <w:rPr>
          <w:b/>
          <w:bCs/>
        </w:rPr>
        <w:t xml:space="preserve">Valuation:</w:t>
      </w:r>
      <w:r>
        <w:t xml:space="preserve"> </w:t>
      </w:r>
      <w:r>
        <w:t xml:space="preserve">At ~29x forward earnings and a stock that's already round-tripped a chunk of its 2026 gains, the market is pricing in fairly consistent execution — leaving less room for a soft print or cautious tone on 2H guidance.</w:t>
      </w:r>
    </w:p>
    <w:p>
      <w:r>
        <w:pict>
          <v:rect style="width:0;height:1.5pt" o:hralign="center" o:hrstd="t" o:hr="t"/>
        </w:pict>
      </w:r>
    </w:p>
    <w:bookmarkEnd w:id="14"/>
    <w:bookmarkStart w:id="15" w:name="X172b26fb3db1e5d721543bd71182c02b9de9125"/>
    <w:p>
      <w:pPr>
        <w:pStyle w:val="Heading2"/>
      </w:pPr>
      <w:r>
        <w:t xml:space="preserve">7. What Would Constitute a "Good" Quarter</w:t>
      </w:r>
    </w:p>
    <w:p>
      <w:pPr>
        <w:pStyle w:val="Compact"/>
        <w:numPr>
          <w:ilvl w:val="0"/>
          <w:numId w:val="1005"/>
        </w:numPr>
      </w:pPr>
      <w:r>
        <w:t xml:space="preserve">Underlying (ex-landfill-comp) EBITDA margin expansion in the 50-80bp range, even if headline margin is flat-to-down as pre-guided.</w:t>
      </w:r>
    </w:p>
    <w:p>
      <w:pPr>
        <w:pStyle w:val="Compact"/>
        <w:numPr>
          <w:ilvl w:val="0"/>
          <w:numId w:val="1005"/>
        </w:numPr>
      </w:pPr>
      <w:r>
        <w:t xml:space="preserve">Confirmation of sequential ES revenue/margin improvement and a still-intact second-half inflection thesis.</w:t>
      </w:r>
    </w:p>
    <w:p>
      <w:pPr>
        <w:pStyle w:val="Compact"/>
        <w:numPr>
          <w:ilvl w:val="0"/>
          <w:numId w:val="1005"/>
        </w:numPr>
      </w:pPr>
      <w:r>
        <w:t xml:space="preserve">Fuel recovery fees successfully offsetting fuel cost inflation (per the Q1 promise).</w:t>
      </w:r>
    </w:p>
    <w:p>
      <w:pPr>
        <w:pStyle w:val="Compact"/>
        <w:numPr>
          <w:ilvl w:val="0"/>
          <w:numId w:val="1005"/>
        </w:numPr>
      </w:pPr>
      <w:r>
        <w:t xml:space="preserve">Residential volume declines "consistent" with — not worse than — the pattern flagged in Q1, with early signs of 2H improvement.</w:t>
      </w:r>
    </w:p>
    <w:p>
      <w:pPr>
        <w:pStyle w:val="Compact"/>
        <w:numPr>
          <w:ilvl w:val="0"/>
          <w:numId w:val="1005"/>
        </w:numPr>
      </w:pPr>
      <w:r>
        <w:t xml:space="preserve">Reiterated (not necessarily raised) FY2026 guidance, plus continued M&amp;A pace toward the &gt;$1B target.</w:t>
      </w:r>
    </w:p>
    <w:p>
      <w:pPr>
        <w:pStyle w:val="Compact"/>
        <w:numPr>
          <w:ilvl w:val="0"/>
          <w:numId w:val="1005"/>
        </w:numPr>
      </w:pPr>
      <w:r>
        <w:t xml:space="preserve">No escalation in the Teamsters labor situation beyond the single-facility action already disclosed.</w:t>
      </w:r>
    </w:p>
    <w:p>
      <w:pPr>
        <w:pStyle w:val="FirstParagraph"/>
      </w:pPr>
      <w:r>
        <w:t xml:space="preserve">A quarter that hits EPS/revenue consensus while keeping the FY26 guide intact and showing ES/volume "green shoots" building would likely be read positively given the stock's recent pullback; a miss on volume or a cautious tone on 2H ES recovery — echoing WM's guidance trim — would likely extend the recent sector-wide de-rating.</w:t>
      </w:r>
    </w:p>
    <w:bookmarkEnd w:id="1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2026-08-06T01:12:55Z</dcterms:created>
  <dcterms:modified xsi:type="dcterms:W3CDTF">2026-08-06T01:12:55Z</dcterms:modified>
</cp:coreProperties>
</file>

<file path=docProps/custom.xml><?xml version="1.0" encoding="utf-8"?>
<Properties xmlns="http://schemas.openxmlformats.org/officeDocument/2006/custom-properties" xmlns:vt="http://schemas.openxmlformats.org/officeDocument/2006/docPropsVTypes"/>
</file>