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212bb41580dab5c1f0f4762934cd3a56fc7f9ad"/>
    <w:p>
      <w:pPr>
        <w:pStyle w:val="Heading1"/>
      </w:pPr>
      <w:r>
        <w:t xml:space="preserve">Republic Services (NYSE: RSG) — 2026Q2 Earnings Preview</w:t>
      </w:r>
    </w:p>
    <w:p>
      <w:pPr>
        <w:pStyle w:val="BlockText"/>
      </w:pPr>
      <w:r>
        <w:rPr>
          <w:b/>
          <w:bCs/>
        </w:rPr>
        <w:t xml:space="preserve">Timing clarification:</w:t>
      </w:r>
      <w:r>
        <w:t xml:space="preserve"> </w:t>
      </w:r>
      <w:r>
        <w:t xml:space="preserve">Republic Services is scheduled to release second-quarter results</w:t>
      </w:r>
      <w:r>
        <w:t xml:space="preserve"> </w:t>
      </w:r>
      <w:r>
        <w:rPr>
          <w:b/>
          <w:bCs/>
        </w:rPr>
        <w:t xml:space="preserve">after the market closes today, Thursday, August 6, 2026</w:t>
      </w:r>
      <w:r>
        <w:t xml:space="preserve">, followed by its conference call at</w:t>
      </w:r>
      <w:r>
        <w:t xml:space="preserve"> </w:t>
      </w:r>
      <w:r>
        <w:rPr>
          <w:b/>
          <w:bCs/>
        </w:rPr>
        <w:t xml:space="preserve">5:00 p.m. Eastern Time</w:t>
      </w:r>
      <w:r>
        <w:t xml:space="preserve">. The event is not tomorrow based on the current date.</w:t>
      </w:r>
    </w:p>
    <w:bookmarkStart w:id="9" w:name="investment-view-going-into-the-report"/>
    <w:p>
      <w:pPr>
        <w:pStyle w:val="Heading2"/>
      </w:pPr>
      <w:r>
        <w:t xml:space="preserve">Investment view going into the report</w:t>
      </w:r>
    </w:p>
    <w:p>
      <w:pPr>
        <w:pStyle w:val="FirstParagraph"/>
      </w:pPr>
      <w:r>
        <w:t xml:space="preserve">This quarter is primarily a test of</w:t>
      </w:r>
      <w:r>
        <w:t xml:space="preserve"> </w:t>
      </w:r>
      <w:r>
        <w:rPr>
          <w:b/>
          <w:bCs/>
        </w:rPr>
        <w:t xml:space="preserve">earnings resilience during a difficult comparison period</w:t>
      </w:r>
      <w:r>
        <w:t xml:space="preserve">. Management already warned that second-quarter volume and margin comparisons would be pressured by unusually strong project-related landfill activity last year. Consequently, investors should focus less on whether reported growth looks spectacular and more on whether:</w:t>
      </w:r>
    </w:p>
    <w:p>
      <w:pPr>
        <w:pStyle w:val="Compact"/>
        <w:numPr>
          <w:ilvl w:val="0"/>
          <w:numId w:val="1001"/>
        </w:numPr>
      </w:pPr>
      <w:r>
        <w:t xml:space="preserve">Core pricing continues to exceed cost inflation.</w:t>
      </w:r>
    </w:p>
    <w:p>
      <w:pPr>
        <w:pStyle w:val="Compact"/>
        <w:numPr>
          <w:ilvl w:val="0"/>
          <w:numId w:val="1001"/>
        </w:numPr>
      </w:pPr>
      <w:r>
        <w:t xml:space="preserve">Underlying Recycling &amp; Waste margins expand after excluding temporary comparison effects.</w:t>
      </w:r>
    </w:p>
    <w:p>
      <w:pPr>
        <w:pStyle w:val="Compact"/>
        <w:numPr>
          <w:ilvl w:val="0"/>
          <w:numId w:val="1001"/>
        </w:numPr>
      </w:pPr>
      <w:r>
        <w:t xml:space="preserve">Environmental Solutions shows credible evidence of a second-half recovery.</w:t>
      </w:r>
    </w:p>
    <w:p>
      <w:pPr>
        <w:pStyle w:val="Compact"/>
        <w:numPr>
          <w:ilvl w:val="0"/>
          <w:numId w:val="1001"/>
        </w:numPr>
      </w:pPr>
      <w:r>
        <w:t xml:space="preserve">Full-year earnings and free-cash-flow guidance remains intact.</w:t>
      </w:r>
    </w:p>
    <w:p>
      <w:pPr>
        <w:pStyle w:val="Compact"/>
        <w:numPr>
          <w:ilvl w:val="0"/>
          <w:numId w:val="1001"/>
        </w:numPr>
      </w:pPr>
      <w:r>
        <w:t xml:space="preserve">Acquisitions are contributing without placing undue pressure on leverage or margins.</w:t>
      </w:r>
    </w:p>
    <w:p>
      <w:pPr>
        <w:pStyle w:val="FirstParagraph"/>
      </w:pPr>
      <w:r>
        <w:t xml:space="preserve">A clean guidance reaffirmation accompanied by improving underlying volumes would likely be a satisfactory result. A guidance increase would be a meaningful positive surprise.</w:t>
      </w:r>
    </w:p>
    <w:p>
      <w:r>
        <w:pict>
          <v:rect style="width:0;height:1.5pt" o:hralign="center" o:hrstd="t" o:hr="t"/>
        </w:pict>
      </w:r>
    </w:p>
    <w:bookmarkEnd w:id="9"/>
    <w:bookmarkStart w:id="11" w:name="key-reference-points"/>
    <w:p>
      <w:pPr>
        <w:pStyle w:val="Heading2"/>
      </w:pPr>
      <w:r>
        <w:t xml:space="preserve">Key reference points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2025Q2 actual</w:t>
            </w:r>
          </w:p>
        </w:tc>
        <w:tc>
          <w:tcPr/>
          <w:p>
            <w:pPr>
              <w:pStyle w:val="Compact"/>
              <w:jc w:val="right"/>
            </w:pPr>
            <w:r>
              <w:t xml:space="preserve">2026Q1 actual</w:t>
            </w:r>
          </w:p>
        </w:tc>
        <w:tc>
          <w:tcPr/>
          <w:p>
            <w:pPr>
              <w:pStyle w:val="Compact"/>
              <w:jc w:val="right"/>
            </w:pPr>
            <w:r>
              <w:t xml:space="preserve">FY2026 guidance</w:t>
            </w:r>
          </w:p>
        </w:tc>
      </w:tr>
      <w:tr>
        <w:tc>
          <w:tcPr/>
          <w:p>
            <w:pPr>
              <w:pStyle w:val="Compact"/>
            </w:pPr>
            <w:r>
              <w:t xml:space="preserve">Revenue</w:t>
            </w:r>
          </w:p>
        </w:tc>
        <w:tc>
          <w:tcPr/>
          <w:p>
            <w:pPr>
              <w:pStyle w:val="Compact"/>
              <w:jc w:val="right"/>
            </w:pPr>
            <w:r>
              <w:t xml:space="preserve">$4.235B</w:t>
            </w:r>
          </w:p>
        </w:tc>
        <w:tc>
          <w:tcPr/>
          <w:p>
            <w:pPr>
              <w:pStyle w:val="Compact"/>
              <w:jc w:val="right"/>
            </w:pPr>
            <w:r>
              <w:t xml:space="preserve">$4.113B</w:t>
            </w:r>
          </w:p>
        </w:tc>
        <w:tc>
          <w:tcPr/>
          <w:p>
            <w:pPr>
              <w:pStyle w:val="Compact"/>
              <w:jc w:val="right"/>
            </w:pPr>
            <m:oMath>
              <m:r>
                <m:t>17.05</m:t>
              </m:r>
              <m:r>
                <m:t>B</m:t>
              </m:r>
              <m:r>
                <m:rPr>
                  <m:sty m:val="p"/>
                </m:rPr>
                <m:t>–</m:t>
              </m:r>
            </m:oMath>
            <w:r>
              <w:t xml:space="preserve">17.15B</w:t>
            </w:r>
          </w:p>
        </w:tc>
      </w:tr>
      <w:tr>
        <w:tc>
          <w:tcPr/>
          <w:p>
            <w:pPr>
              <w:pStyle w:val="Compact"/>
            </w:pPr>
            <w:r>
              <w:t xml:space="preserve">Adjusted EBITDA</w:t>
            </w:r>
          </w:p>
        </w:tc>
        <w:tc>
          <w:tcPr/>
          <w:p>
            <w:pPr>
              <w:pStyle w:val="Compact"/>
              <w:jc w:val="right"/>
            </w:pPr>
            <w:r>
              <w:t xml:space="preserve">$1.361B</w:t>
            </w:r>
          </w:p>
        </w:tc>
        <w:tc>
          <w:tcPr/>
          <w:p>
            <w:pPr>
              <w:pStyle w:val="Compact"/>
              <w:jc w:val="right"/>
            </w:pPr>
            <w:r>
              <w:t xml:space="preserve">$1.322B</w:t>
            </w:r>
          </w:p>
        </w:tc>
        <w:tc>
          <w:tcPr/>
          <w:p>
            <w:pPr>
              <w:pStyle w:val="Compact"/>
              <w:jc w:val="right"/>
            </w:pPr>
            <m:oMath>
              <m:r>
                <m:t>5.475</m:t>
              </m:r>
              <m:r>
                <m:t>B</m:t>
              </m:r>
              <m:r>
                <m:rPr>
                  <m:sty m:val="p"/>
                </m:rPr>
                <m:t>–</m:t>
              </m:r>
            </m:oMath>
            <w:r>
              <w:t xml:space="preserve">5.525B</w:t>
            </w:r>
          </w:p>
        </w:tc>
      </w:tr>
      <w:tr>
        <w:tc>
          <w:tcPr/>
          <w:p>
            <w:pPr>
              <w:pStyle w:val="Compact"/>
            </w:pPr>
            <w:r>
              <w:t xml:space="preserve">Adjusted EBITDA margin</w:t>
            </w:r>
          </w:p>
        </w:tc>
        <w:tc>
          <w:tcPr/>
          <w:p>
            <w:pPr>
              <w:pStyle w:val="Compact"/>
              <w:jc w:val="right"/>
            </w:pPr>
            <w:r>
              <w:t xml:space="preserve">32.1%</w:t>
            </w:r>
          </w:p>
        </w:tc>
        <w:tc>
          <w:tcPr/>
          <w:p>
            <w:pPr>
              <w:pStyle w:val="Compact"/>
              <w:jc w:val="right"/>
            </w:pPr>
            <w:r>
              <w:t xml:space="preserve">32.1%</w:t>
            </w:r>
          </w:p>
        </w:tc>
        <w:tc>
          <w:tcPr/>
          <w:p>
            <w:pPr>
              <w:pStyle w:val="Compact"/>
              <w:jc w:val="right"/>
            </w:pPr>
            <w:r>
              <w:t xml:space="preserve">—</w:t>
            </w:r>
          </w:p>
        </w:tc>
      </w:tr>
      <w:tr>
        <w:tc>
          <w:tcPr/>
          <w:p>
            <w:pPr>
              <w:pStyle w:val="Compact"/>
            </w:pPr>
            <w:r>
              <w:t xml:space="preserve">Adjusted EPS</w:t>
            </w:r>
          </w:p>
        </w:tc>
        <w:tc>
          <w:tcPr/>
          <w:p>
            <w:pPr>
              <w:pStyle w:val="Compact"/>
              <w:jc w:val="right"/>
            </w:pPr>
            <w:r>
              <w:t xml:space="preserve">$1.77</w:t>
            </w:r>
          </w:p>
        </w:tc>
        <w:tc>
          <w:tcPr/>
          <w:p>
            <w:pPr>
              <w:pStyle w:val="Compact"/>
              <w:jc w:val="right"/>
            </w:pPr>
            <w:r>
              <w:t xml:space="preserve">$1.70</w:t>
            </w:r>
          </w:p>
        </w:tc>
        <w:tc>
          <w:tcPr/>
          <w:p>
            <w:pPr>
              <w:pStyle w:val="Compact"/>
              <w:jc w:val="right"/>
            </w:pPr>
            <m:oMath>
              <m:r>
                <m:t>7.20</m:t>
              </m:r>
              <m:r>
                <m:rPr>
                  <m:sty m:val="p"/>
                </m:rPr>
                <m:t>–</m:t>
              </m:r>
            </m:oMath>
            <w:r>
              <w:t xml:space="preserve">7.28</w:t>
            </w:r>
          </w:p>
        </w:tc>
      </w:tr>
      <w:tr>
        <w:tc>
          <w:tcPr/>
          <w:p>
            <w:pPr>
              <w:pStyle w:val="Compact"/>
            </w:pPr>
            <w:r>
              <w:t xml:space="preserve">Adjusted free cash flow</w:t>
            </w:r>
          </w:p>
        </w:tc>
        <w:tc>
          <w:tcPr/>
          <w:p>
            <w:pPr>
              <w:pStyle w:val="Compact"/>
              <w:jc w:val="right"/>
            </w:pPr>
            <w:r>
              <w:t xml:space="preserve">$1.420B YTD</w:t>
            </w:r>
          </w:p>
        </w:tc>
        <w:tc>
          <w:tcPr/>
          <w:p>
            <w:pPr>
              <w:pStyle w:val="Compact"/>
              <w:jc w:val="right"/>
            </w:pPr>
            <w:r>
              <w:t xml:space="preserve">$984M</w:t>
            </w:r>
          </w:p>
        </w:tc>
        <w:tc>
          <w:tcPr/>
          <w:p>
            <w:pPr>
              <w:pStyle w:val="Compact"/>
              <w:jc w:val="right"/>
            </w:pPr>
            <m:oMath>
              <m:r>
                <m:t>2.520</m:t>
              </m:r>
              <m:r>
                <m:t>B</m:t>
              </m:r>
              <m:r>
                <m:rPr>
                  <m:sty m:val="p"/>
                </m:rPr>
                <m:t>–</m:t>
              </m:r>
            </m:oMath>
            <w:r>
              <w:t xml:space="preserve">2.560B</w:t>
            </w:r>
          </w:p>
        </w:tc>
      </w:tr>
      <w:tr>
        <w:tc>
          <w:tcPr/>
          <w:p>
            <w:pPr>
              <w:pStyle w:val="Compact"/>
            </w:pPr>
            <w:r>
              <w:t xml:space="preserve">Total-volume growth</w:t>
            </w:r>
          </w:p>
        </w:tc>
        <w:tc>
          <w:tcPr/>
          <w:p>
            <w:pPr>
              <w:pStyle w:val="Compact"/>
              <w:jc w:val="right"/>
            </w:pPr>
            <w:r>
              <w:t xml:space="preserve">+0.2%</w:t>
            </w:r>
          </w:p>
        </w:tc>
        <w:tc>
          <w:tcPr/>
          <w:p>
            <w:pPr>
              <w:pStyle w:val="Compact"/>
              <w:jc w:val="right"/>
            </w:pPr>
            <w:r>
              <w:t xml:space="preserve">-0.8%</w:t>
            </w:r>
          </w:p>
        </w:tc>
        <w:tc>
          <w:tcPr/>
          <w:p>
            <w:pPr>
              <w:pStyle w:val="Compact"/>
              <w:jc w:val="right"/>
            </w:pPr>
            <w:r>
              <w:t xml:space="preserve">Approximately -1.0%</w:t>
            </w:r>
          </w:p>
        </w:tc>
      </w:tr>
      <w:tr>
        <w:tc>
          <w:tcPr/>
          <w:p>
            <w:pPr>
              <w:pStyle w:val="Compact"/>
            </w:pPr>
            <w:r>
              <w:t xml:space="preserve">Related-business yield</w:t>
            </w:r>
          </w:p>
        </w:tc>
        <w:tc>
          <w:tcPr/>
          <w:p>
            <w:pPr>
              <w:pStyle w:val="Compact"/>
              <w:jc w:val="right"/>
            </w:pPr>
            <w:r>
              <w:t xml:space="preserve">+5.0%</w:t>
            </w:r>
          </w:p>
        </w:tc>
        <w:tc>
          <w:tcPr/>
          <w:p>
            <w:pPr>
              <w:pStyle w:val="Compact"/>
              <w:jc w:val="right"/>
            </w:pPr>
            <w:r>
              <w:t xml:space="preserve">+4.1%</w:t>
            </w:r>
          </w:p>
        </w:tc>
        <w:tc>
          <w:tcPr/>
          <w:p>
            <w:pPr>
              <w:pStyle w:val="Compact"/>
              <w:jc w:val="right"/>
            </w:pPr>
            <w:r>
              <w:t xml:space="preserve">+4.0%–4.5%</w:t>
            </w:r>
          </w:p>
        </w:tc>
      </w:tr>
    </w:tbl>
    <w:bookmarkStart w:id="10" w:name="X89d005ded7ca5bd17ccd261aced04753868fc9d"/>
    <w:p>
      <w:pPr>
        <w:pStyle w:val="Heading3"/>
      </w:pPr>
      <w:r>
        <w:t xml:space="preserve">Reasonable operating framework—not consensus</w:t>
      </w:r>
    </w:p>
    <w:p>
      <w:pPr>
        <w:pStyle w:val="FirstParagraph"/>
      </w:pPr>
      <w:r>
        <w:t xml:space="preserve">Based on management’s commentary and the prior-year comparison, a broadly on-track quarter would likely fall around:</w:t>
      </w:r>
    </w:p>
    <w:p>
      <w:pPr>
        <w:pStyle w:val="Compact"/>
        <w:numPr>
          <w:ilvl w:val="0"/>
          <w:numId w:val="1002"/>
        </w:numPr>
      </w:pPr>
      <w:r>
        <w:rPr>
          <w:b/>
          <w:bCs/>
        </w:rPr>
        <w:t xml:space="preserve">Revenue:</w:t>
      </w:r>
      <w:r>
        <w:t xml:space="preserve"> </w:t>
      </w:r>
      <w:r>
        <w:t xml:space="preserve">approximately</w:t>
      </w:r>
      <w:r>
        <w:t xml:space="preserve"> </w:t>
      </w:r>
      <m:oMath>
        <m:r>
          <m:t>4.3</m:t>
        </m:r>
        <m:r>
          <m:t>B</m:t>
        </m:r>
        <m:r>
          <m:rPr>
            <m:sty m:val="p"/>
          </m:rPr>
          <m:t>–</m:t>
        </m:r>
      </m:oMath>
      <w:r>
        <w:t xml:space="preserve">4.4B</w:t>
      </w:r>
    </w:p>
    <w:p>
      <w:pPr>
        <w:pStyle w:val="Compact"/>
        <w:numPr>
          <w:ilvl w:val="0"/>
          <w:numId w:val="1002"/>
        </w:numPr>
      </w:pPr>
      <w:r>
        <w:rPr>
          <w:b/>
          <w:bCs/>
        </w:rPr>
        <w:t xml:space="preserve">Adjusted EBITDA margin:</w:t>
      </w:r>
      <w:r>
        <w:t xml:space="preserve"> </w:t>
      </w:r>
      <w:r>
        <w:t xml:space="preserve">approximately 31.8%–32.1%</w:t>
      </w:r>
    </w:p>
    <w:p>
      <w:pPr>
        <w:pStyle w:val="Compact"/>
        <w:numPr>
          <w:ilvl w:val="0"/>
          <w:numId w:val="1002"/>
        </w:numPr>
      </w:pPr>
      <w:r>
        <w:rPr>
          <w:b/>
          <w:bCs/>
        </w:rPr>
        <w:t xml:space="preserve">Adjusted EPS:</w:t>
      </w:r>
      <w:r>
        <w:t xml:space="preserve"> </w:t>
      </w:r>
      <w:r>
        <w:t xml:space="preserve">approximately</w:t>
      </w:r>
      <w:r>
        <w:t xml:space="preserve"> </w:t>
      </w:r>
      <m:oMath>
        <m:r>
          <m:t>1.78</m:t>
        </m:r>
        <m:r>
          <m:rPr>
            <m:sty m:val="p"/>
          </m:rPr>
          <m:t>–</m:t>
        </m:r>
      </m:oMath>
      <w:r>
        <w:t xml:space="preserve">1.84</w:t>
      </w:r>
    </w:p>
    <w:p>
      <w:pPr>
        <w:pStyle w:val="FirstParagraph"/>
      </w:pPr>
      <w:r>
        <w:t xml:space="preserve">The quality of the results will matter more than a few cents of EPS variance. In particular, investors should separate underlying operating performance from project timing, recycled commodity prices, fuel and acquisition dilution.</w:t>
      </w:r>
    </w:p>
    <w:p>
      <w:r>
        <w:pict>
          <v:rect style="width:0;height:1.5pt" o:hralign="center" o:hrstd="t" o:hr="t"/>
        </w:pict>
      </w:r>
    </w:p>
    <w:bookmarkEnd w:id="10"/>
    <w:bookmarkEnd w:id="11"/>
    <w:bookmarkStart w:id="18" w:name="what-matters-most"/>
    <w:p>
      <w:pPr>
        <w:pStyle w:val="Heading2"/>
      </w:pPr>
      <w:r>
        <w:t xml:space="preserve">What matters most</w:t>
      </w:r>
    </w:p>
    <w:bookmarkStart w:id="12" w:name="Xca0983e8ff9cde42b70a911262b2300db0544fe"/>
    <w:p>
      <w:pPr>
        <w:pStyle w:val="Heading3"/>
      </w:pPr>
      <w:r>
        <w:t xml:space="preserve">1. Margin performance against a difficult comparison</w:t>
      </w:r>
    </w:p>
    <w:p>
      <w:pPr>
        <w:pStyle w:val="FirstParagraph"/>
      </w:pPr>
      <w:r>
        <w:t xml:space="preserve">Management explicitly guided to</w:t>
      </w:r>
      <w:r>
        <w:t xml:space="preserve"> </w:t>
      </w:r>
      <w:r>
        <w:rPr>
          <w:b/>
          <w:bCs/>
        </w:rPr>
        <w:t xml:space="preserve">flat to slightly lower second-quarter adjusted EBITDA margin</w:t>
      </w:r>
      <w:r>
        <w:t xml:space="preserve"> </w:t>
      </w:r>
      <w:r>
        <w:t xml:space="preserve">versus the 32.1% reported in 2025Q2. The main issue is the absence of unusually profitable project-related landfill volumes that benefited last year’s quarter.</w:t>
      </w:r>
    </w:p>
    <w:p>
      <w:pPr>
        <w:pStyle w:val="BodyText"/>
      </w:pPr>
      <w:r>
        <w:t xml:space="preserve">That creates a relatively clear scorecard:</w:t>
      </w:r>
    </w:p>
    <w:p>
      <w:pPr>
        <w:pStyle w:val="Compact"/>
        <w:numPr>
          <w:ilvl w:val="0"/>
          <w:numId w:val="1003"/>
        </w:numPr>
      </w:pPr>
      <w:r>
        <w:rPr>
          <w:b/>
          <w:bCs/>
        </w:rPr>
        <w:t xml:space="preserve">Bullish:</w:t>
      </w:r>
      <w:r>
        <w:t xml:space="preserve"> </w:t>
      </w:r>
      <w:r>
        <w:t xml:space="preserve">Margin holds near or above 32.1%, especially if management attributes the result to productivity and price/cost execution.</w:t>
      </w:r>
    </w:p>
    <w:p>
      <w:pPr>
        <w:pStyle w:val="Compact"/>
        <w:numPr>
          <w:ilvl w:val="0"/>
          <w:numId w:val="1003"/>
        </w:numPr>
      </w:pPr>
      <w:r>
        <w:rPr>
          <w:b/>
          <w:bCs/>
        </w:rPr>
        <w:t xml:space="preserve">Acceptable:</w:t>
      </w:r>
      <w:r>
        <w:t xml:space="preserve"> </w:t>
      </w:r>
      <w:r>
        <w:t xml:space="preserve">Margin lands modestly below 32.1%, but the underlying business expands after normalizing for project comparisons and acquisitions.</w:t>
      </w:r>
    </w:p>
    <w:p>
      <w:pPr>
        <w:pStyle w:val="Compact"/>
        <w:numPr>
          <w:ilvl w:val="0"/>
          <w:numId w:val="1003"/>
        </w:numPr>
      </w:pPr>
      <w:r>
        <w:rPr>
          <w:b/>
          <w:bCs/>
        </w:rPr>
        <w:t xml:space="preserve">Bearish:</w:t>
      </w:r>
      <w:r>
        <w:t xml:space="preserve"> </w:t>
      </w:r>
      <w:r>
        <w:t xml:space="preserve">Margin falls materially below 32% because of weaker operating execution, labor, maintenance or unrecovered fuel costs.</w:t>
      </w:r>
    </w:p>
    <w:p>
      <w:pPr>
        <w:pStyle w:val="FirstParagraph"/>
      </w:pPr>
      <w:r>
        <w:t xml:space="preserve">First-quarter margin expanded 50 basis points to 32.1%, including approximately 90 basis points of underlying expansion. That suggests the core cost structure was performing well entering Q2.</w:t>
      </w:r>
    </w:p>
    <w:bookmarkEnd w:id="12"/>
    <w:bookmarkStart w:id="13" w:name="Xf27ff8dc61eed2f53ffdbf562ad0c63b9a78f2b"/>
    <w:p>
      <w:pPr>
        <w:pStyle w:val="Heading3"/>
      </w:pPr>
      <w:r>
        <w:t xml:space="preserve">2. Price versus volume</w:t>
      </w:r>
    </w:p>
    <w:p>
      <w:pPr>
        <w:pStyle w:val="FirstParagraph"/>
      </w:pPr>
      <w:r>
        <w:t xml:space="preserve">Republic remains highly effective at pricing:</w:t>
      </w:r>
    </w:p>
    <w:p>
      <w:pPr>
        <w:pStyle w:val="Compact"/>
        <w:numPr>
          <w:ilvl w:val="0"/>
          <w:numId w:val="1004"/>
        </w:numPr>
      </w:pPr>
      <w:r>
        <w:t xml:space="preserve">First-quarter core price on related-business revenue was</w:t>
      </w:r>
      <w:r>
        <w:t xml:space="preserve"> </w:t>
      </w:r>
      <w:r>
        <w:rPr>
          <w:b/>
          <w:bCs/>
        </w:rPr>
        <w:t xml:space="preserve">6.8%</w:t>
      </w:r>
      <w:r>
        <w:t xml:space="preserve">.</w:t>
      </w:r>
    </w:p>
    <w:p>
      <w:pPr>
        <w:pStyle w:val="Compact"/>
        <w:numPr>
          <w:ilvl w:val="0"/>
          <w:numId w:val="1004"/>
        </w:numPr>
      </w:pPr>
      <w:r>
        <w:t xml:space="preserve">Related-business yield was</w:t>
      </w:r>
      <w:r>
        <w:t xml:space="preserve"> </w:t>
      </w:r>
      <w:r>
        <w:rPr>
          <w:b/>
          <w:bCs/>
        </w:rPr>
        <w:t xml:space="preserve">4.1%</w:t>
      </w:r>
      <w:r>
        <w:t xml:space="preserve">.</w:t>
      </w:r>
    </w:p>
    <w:p>
      <w:pPr>
        <w:pStyle w:val="Compact"/>
        <w:numPr>
          <w:ilvl w:val="0"/>
          <w:numId w:val="1004"/>
        </w:numPr>
      </w:pPr>
      <w:r>
        <w:t xml:space="preserve">Related-business volume declined</w:t>
      </w:r>
      <w:r>
        <w:t xml:space="preserve"> </w:t>
      </w:r>
      <w:r>
        <w:rPr>
          <w:b/>
          <w:bCs/>
        </w:rPr>
        <w:t xml:space="preserve">1.0%</w:t>
      </w:r>
      <w:r>
        <w:t xml:space="preserve">.</w:t>
      </w:r>
    </w:p>
    <w:p>
      <w:pPr>
        <w:pStyle w:val="FirstParagraph"/>
      </w:pPr>
      <w:r>
        <w:t xml:space="preserve">The gap between core price and yield reflects mix, churn and the treatment of temporary large-container activity. Investors should watch whether the yield figure stays within the company’s full-year 4.0%–4.5% objective.</w:t>
      </w:r>
    </w:p>
    <w:p>
      <w:pPr>
        <w:pStyle w:val="BodyText"/>
      </w:pPr>
      <w:r>
        <w:t xml:space="preserve">Volume will probably remain negative in Q2. Management previously expected total volume to decline in both the second and third quarters before turning positive in the fourth quarter. The key question is whether underlying demand is improving despite the unfavorable reported comparison.</w:t>
      </w:r>
    </w:p>
    <w:p>
      <w:pPr>
        <w:pStyle w:val="BodyText"/>
      </w:pPr>
      <w:r>
        <w:t xml:space="preserve">Important operating indicators include:</w:t>
      </w:r>
    </w:p>
    <w:p>
      <w:pPr>
        <w:pStyle w:val="Compact"/>
        <w:numPr>
          <w:ilvl w:val="0"/>
          <w:numId w:val="1005"/>
        </w:numPr>
      </w:pPr>
      <w:r>
        <w:t xml:space="preserve">Small-container volume</w:t>
      </w:r>
    </w:p>
    <w:p>
      <w:pPr>
        <w:pStyle w:val="Compact"/>
        <w:numPr>
          <w:ilvl w:val="0"/>
          <w:numId w:val="1005"/>
        </w:numPr>
      </w:pPr>
      <w:r>
        <w:t xml:space="preserve">Temporary and permanent large-container activity</w:t>
      </w:r>
    </w:p>
    <w:p>
      <w:pPr>
        <w:pStyle w:val="Compact"/>
        <w:numPr>
          <w:ilvl w:val="0"/>
          <w:numId w:val="1005"/>
        </w:numPr>
      </w:pPr>
      <w:r>
        <w:t xml:space="preserve">Municipal solid-waste landfill volume</w:t>
      </w:r>
    </w:p>
    <w:p>
      <w:pPr>
        <w:pStyle w:val="Compact"/>
        <w:numPr>
          <w:ilvl w:val="0"/>
          <w:numId w:val="1005"/>
        </w:numPr>
      </w:pPr>
      <w:r>
        <w:t xml:space="preserve">Special-waste activity</w:t>
      </w:r>
    </w:p>
    <w:p>
      <w:pPr>
        <w:pStyle w:val="Compact"/>
        <w:numPr>
          <w:ilvl w:val="0"/>
          <w:numId w:val="1005"/>
        </w:numPr>
      </w:pPr>
      <w:r>
        <w:t xml:space="preserve">Construction-and-demolition waste</w:t>
      </w:r>
    </w:p>
    <w:p>
      <w:pPr>
        <w:pStyle w:val="Compact"/>
        <w:numPr>
          <w:ilvl w:val="0"/>
          <w:numId w:val="1005"/>
        </w:numPr>
      </w:pPr>
      <w:r>
        <w:t xml:space="preserve">Customer retention, which was 94% in Q1</w:t>
      </w:r>
    </w:p>
    <w:p>
      <w:pPr>
        <w:pStyle w:val="FirstParagraph"/>
      </w:pPr>
      <w:r>
        <w:t xml:space="preserve">A continuation of sequential improvement in small- and large-container volumes would support management’s earlier “green shoots” commentary.</w:t>
      </w:r>
    </w:p>
    <w:bookmarkEnd w:id="13"/>
    <w:bookmarkStart w:id="14" w:name="X8f92f92789ea2400f1755f6ce19be2f08dc0193"/>
    <w:p>
      <w:pPr>
        <w:pStyle w:val="Heading3"/>
      </w:pPr>
      <w:r>
        <w:t xml:space="preserve">3. Environmental Solutions needs evidence of a turn</w:t>
      </w:r>
    </w:p>
    <w:p>
      <w:pPr>
        <w:pStyle w:val="FirstParagraph"/>
      </w:pPr>
      <w:r>
        <w:t xml:space="preserve">Environmental Solutions was the weakest part of the first quarter:</w:t>
      </w:r>
    </w:p>
    <w:p>
      <w:pPr>
        <w:pStyle w:val="Compact"/>
        <w:numPr>
          <w:ilvl w:val="0"/>
          <w:numId w:val="1006"/>
        </w:numPr>
      </w:pPr>
      <w:r>
        <w:t xml:space="preserve">Revenue fell to</w:t>
      </w:r>
      <w:r>
        <w:t xml:space="preserve"> </w:t>
      </w:r>
      <w:r>
        <w:rPr>
          <w:b/>
          <w:bCs/>
        </w:rPr>
        <w:t xml:space="preserve">$405 million</w:t>
      </w:r>
      <w:r>
        <w:t xml:space="preserve"> </w:t>
      </w:r>
      <w:r>
        <w:t xml:space="preserve">from $449 million.</w:t>
      </w:r>
    </w:p>
    <w:p>
      <w:pPr>
        <w:pStyle w:val="Compact"/>
        <w:numPr>
          <w:ilvl w:val="0"/>
          <w:numId w:val="1006"/>
        </w:numPr>
      </w:pPr>
      <w:r>
        <w:t xml:space="preserve">Adjusted EBITDA fell to</w:t>
      </w:r>
      <w:r>
        <w:t xml:space="preserve"> </w:t>
      </w:r>
      <w:r>
        <w:rPr>
          <w:b/>
          <w:bCs/>
        </w:rPr>
        <w:t xml:space="preserve">$78 million</w:t>
      </w:r>
      <w:r>
        <w:t xml:space="preserve"> </w:t>
      </w:r>
      <w:r>
        <w:t xml:space="preserve">from $93 million.</w:t>
      </w:r>
    </w:p>
    <w:p>
      <w:pPr>
        <w:pStyle w:val="Compact"/>
        <w:numPr>
          <w:ilvl w:val="0"/>
          <w:numId w:val="1006"/>
        </w:numPr>
      </w:pPr>
      <w:r>
        <w:t xml:space="preserve">Margin contracted to</w:t>
      </w:r>
      <w:r>
        <w:t xml:space="preserve"> </w:t>
      </w:r>
      <w:r>
        <w:rPr>
          <w:b/>
          <w:bCs/>
        </w:rPr>
        <w:t xml:space="preserve">19.2%</w:t>
      </w:r>
      <w:r>
        <w:t xml:space="preserve"> </w:t>
      </w:r>
      <w:r>
        <w:t xml:space="preserve">from 20.8%.</w:t>
      </w:r>
    </w:p>
    <w:p>
      <w:pPr>
        <w:pStyle w:val="FirstParagraph"/>
      </w:pPr>
      <w:r>
        <w:t xml:space="preserve">Approximately $15 million of the year-over-year revenue decline came from an emergency-response project that did not repeat. Management also acknowledged that prior pricing decisions had contributed to weakness, although it believed pricing had become better aligned with the market.</w:t>
      </w:r>
    </w:p>
    <w:p>
      <w:pPr>
        <w:pStyle w:val="BodyText"/>
      </w:pPr>
      <w:r>
        <w:t xml:space="preserve">Management expects:</w:t>
      </w:r>
    </w:p>
    <w:p>
      <w:pPr>
        <w:pStyle w:val="Compact"/>
        <w:numPr>
          <w:ilvl w:val="0"/>
          <w:numId w:val="1007"/>
        </w:numPr>
      </w:pPr>
      <w:r>
        <w:t xml:space="preserve">Another difficult comparison in Q2</w:t>
      </w:r>
    </w:p>
    <w:p>
      <w:pPr>
        <w:pStyle w:val="Compact"/>
        <w:numPr>
          <w:ilvl w:val="0"/>
          <w:numId w:val="1007"/>
        </w:numPr>
      </w:pPr>
      <w:r>
        <w:t xml:space="preserve">Sequential progress thereafter</w:t>
      </w:r>
    </w:p>
    <w:p>
      <w:pPr>
        <w:pStyle w:val="Compact"/>
        <w:numPr>
          <w:ilvl w:val="0"/>
          <w:numId w:val="1007"/>
        </w:numPr>
      </w:pPr>
      <w:r>
        <w:t xml:space="preserve">Return to year-over-year revenue growth in the second half</w:t>
      </w:r>
    </w:p>
    <w:p>
      <w:pPr>
        <w:pStyle w:val="FirstParagraph"/>
      </w:pPr>
      <w:r>
        <w:t xml:space="preserve">Investors should listen for concrete support for that forecast: signed projects, scheduled turnaround work, remediation activity, cross-selling wins or stronger recurring hazardous-waste volumes. Another vague promise of a second-half recovery, without improving backlog or project visibility, would be less convincing.</w:t>
      </w:r>
    </w:p>
    <w:p>
      <w:pPr>
        <w:pStyle w:val="BodyText"/>
      </w:pPr>
      <w:r>
        <w:t xml:space="preserve">A return toward a</w:t>
      </w:r>
      <w:r>
        <w:t xml:space="preserve"> </w:t>
      </w:r>
      <w:r>
        <w:rPr>
          <w:b/>
          <w:bCs/>
        </w:rPr>
        <w:t xml:space="preserve">20%-plus segment margin</w:t>
      </w:r>
      <w:r>
        <w:t xml:space="preserve"> </w:t>
      </w:r>
      <w:r>
        <w:t xml:space="preserve">would be encouraging.</w:t>
      </w:r>
    </w:p>
    <w:bookmarkEnd w:id="14"/>
    <w:bookmarkStart w:id="15" w:name="Xf3f8c8b150b021b111215a04319676b78daa53b"/>
    <w:p>
      <w:pPr>
        <w:pStyle w:val="Heading3"/>
      </w:pPr>
      <w:r>
        <w:t xml:space="preserve">4. Full-year guidance is the central catalyst</w:t>
      </w:r>
    </w:p>
    <w:p>
      <w:pPr>
        <w:pStyle w:val="FirstParagraph"/>
      </w:pPr>
      <w:r>
        <w:t xml:space="preserve">Current 2026 guidance calls for:</w:t>
      </w:r>
    </w:p>
    <w:p>
      <w:pPr>
        <w:pStyle w:val="Compact"/>
        <w:numPr>
          <w:ilvl w:val="0"/>
          <w:numId w:val="1008"/>
        </w:numPr>
      </w:pPr>
      <w:r>
        <w:rPr>
          <w:b/>
          <w:bCs/>
        </w:rPr>
        <w:t xml:space="preserve">Revenue:</w:t>
      </w:r>
      <w:r>
        <w:t xml:space="preserve"> </w:t>
      </w:r>
      <m:oMath>
        <m:r>
          <m:t>17.05</m:t>
        </m:r>
        <m:r>
          <m:t>B</m:t>
        </m:r>
        <m:r>
          <m:rPr>
            <m:sty m:val="p"/>
          </m:rPr>
          <m:t>–</m:t>
        </m:r>
      </m:oMath>
      <w:r>
        <w:t xml:space="preserve">17.15B</w:t>
      </w:r>
    </w:p>
    <w:p>
      <w:pPr>
        <w:pStyle w:val="Compact"/>
        <w:numPr>
          <w:ilvl w:val="0"/>
          <w:numId w:val="1008"/>
        </w:numPr>
      </w:pPr>
      <w:r>
        <w:rPr>
          <w:b/>
          <w:bCs/>
        </w:rPr>
        <w:t xml:space="preserve">Adjusted EBITDA:</w:t>
      </w:r>
      <w:r>
        <w:t xml:space="preserve"> </w:t>
      </w:r>
      <m:oMath>
        <m:r>
          <m:t>5.475</m:t>
        </m:r>
        <m:r>
          <m:t>B</m:t>
        </m:r>
        <m:r>
          <m:rPr>
            <m:sty m:val="p"/>
          </m:rPr>
          <m:t>–</m:t>
        </m:r>
      </m:oMath>
      <w:r>
        <w:t xml:space="preserve">5.525B</w:t>
      </w:r>
    </w:p>
    <w:p>
      <w:pPr>
        <w:pStyle w:val="Compact"/>
        <w:numPr>
          <w:ilvl w:val="0"/>
          <w:numId w:val="1008"/>
        </w:numPr>
      </w:pPr>
      <w:r>
        <w:rPr>
          <w:b/>
          <w:bCs/>
        </w:rPr>
        <w:t xml:space="preserve">Adjusted EPS:</w:t>
      </w:r>
      <w:r>
        <w:t xml:space="preserve"> </w:t>
      </w:r>
      <m:oMath>
        <m:r>
          <m:t>7.20</m:t>
        </m:r>
        <m:r>
          <m:rPr>
            <m:sty m:val="p"/>
          </m:rPr>
          <m:t>–</m:t>
        </m:r>
      </m:oMath>
      <w:r>
        <w:t xml:space="preserve">7.28</w:t>
      </w:r>
    </w:p>
    <w:p>
      <w:pPr>
        <w:pStyle w:val="Compact"/>
        <w:numPr>
          <w:ilvl w:val="0"/>
          <w:numId w:val="1008"/>
        </w:numPr>
      </w:pPr>
      <w:r>
        <w:rPr>
          <w:b/>
          <w:bCs/>
        </w:rPr>
        <w:t xml:space="preserve">Adjusted free cash flow:</w:t>
      </w:r>
      <w:r>
        <w:t xml:space="preserve"> </w:t>
      </w:r>
      <m:oMath>
        <m:r>
          <m:t>2.520</m:t>
        </m:r>
        <m:r>
          <m:t>B</m:t>
        </m:r>
        <m:r>
          <m:rPr>
            <m:sty m:val="p"/>
          </m:rPr>
          <m:t>–</m:t>
        </m:r>
      </m:oMath>
      <w:r>
        <w:t xml:space="preserve">2.560B</w:t>
      </w:r>
    </w:p>
    <w:p>
      <w:pPr>
        <w:pStyle w:val="Compact"/>
        <w:numPr>
          <w:ilvl w:val="0"/>
          <w:numId w:val="1008"/>
        </w:numPr>
      </w:pPr>
      <w:r>
        <w:rPr>
          <w:b/>
          <w:bCs/>
        </w:rPr>
        <w:t xml:space="preserve">Net property and equipment investment:</w:t>
      </w:r>
      <w:r>
        <w:t xml:space="preserve"> </w:t>
      </w:r>
      <m:oMath>
        <m:r>
          <m:t>1.960</m:t>
        </m:r>
        <m:r>
          <m:t>B</m:t>
        </m:r>
        <m:r>
          <m:rPr>
            <m:sty m:val="p"/>
          </m:rPr>
          <m:t>–</m:t>
        </m:r>
      </m:oMath>
      <w:r>
        <w:t xml:space="preserve">2.000B</w:t>
      </w:r>
    </w:p>
    <w:p>
      <w:pPr>
        <w:pStyle w:val="FirstParagraph"/>
      </w:pPr>
      <w:r>
        <w:t xml:space="preserve">After Q1 adjusted EPS of</w:t>
      </w:r>
      <w:r>
        <w:t xml:space="preserve"> </w:t>
      </w:r>
      <m:oMath>
        <m:r>
          <m:t>1.70</m:t>
        </m:r>
        <m:r>
          <m:rPr>
            <m:sty m:val="p"/>
          </m:rPr>
          <m:t>,</m:t>
        </m:r>
        <m:r>
          <m:t>t</m:t>
        </m:r>
        <m:r>
          <m:t>h</m:t>
        </m:r>
        <m:r>
          <m:t>e</m:t>
        </m:r>
        <m:r>
          <m:t>m</m:t>
        </m:r>
        <m:r>
          <m:t>i</m:t>
        </m:r>
        <m:r>
          <m:t>d</m:t>
        </m:r>
        <m:r>
          <m:t>p</m:t>
        </m:r>
        <m:r>
          <m:t>o</m:t>
        </m:r>
        <m:r>
          <m:t>i</m:t>
        </m:r>
        <m:r>
          <m:t>n</m:t>
        </m:r>
        <m:r>
          <m:t>t</m:t>
        </m:r>
        <m:r>
          <m:t>o</m:t>
        </m:r>
        <m:r>
          <m:t>f</m:t>
        </m:r>
        <m:r>
          <m:t>g</m:t>
        </m:r>
        <m:r>
          <m:t>u</m:t>
        </m:r>
        <m:r>
          <m:t>i</m:t>
        </m:r>
        <m:r>
          <m:t>d</m:t>
        </m:r>
        <m:r>
          <m:t>a</m:t>
        </m:r>
        <m:r>
          <m:t>n</m:t>
        </m:r>
        <m:r>
          <m:t>c</m:t>
        </m:r>
        <m:r>
          <m:t>e</m:t>
        </m:r>
        <m:r>
          <m:t>r</m:t>
        </m:r>
        <m:r>
          <m:t>e</m:t>
        </m:r>
        <m:r>
          <m:t>q</m:t>
        </m:r>
        <m:r>
          <m:t>u</m:t>
        </m:r>
        <m:r>
          <m:t>i</m:t>
        </m:r>
        <m:r>
          <m:t>r</m:t>
        </m:r>
        <m:r>
          <m:t>e</m:t>
        </m:r>
        <m:r>
          <m:t>s</m:t>
        </m:r>
        <m:r>
          <m:t>a</m:t>
        </m:r>
        <m:r>
          <m:t>p</m:t>
        </m:r>
        <m:r>
          <m:t>p</m:t>
        </m:r>
        <m:r>
          <m:t>r</m:t>
        </m:r>
        <m:r>
          <m:t>o</m:t>
        </m:r>
        <m:r>
          <m:t>x</m:t>
        </m:r>
        <m:r>
          <m:t>i</m:t>
        </m:r>
        <m:r>
          <m:t>m</m:t>
        </m:r>
        <m:r>
          <m:t>a</m:t>
        </m:r>
        <m:r>
          <m:t>t</m:t>
        </m:r>
        <m:r>
          <m:t>e</m:t>
        </m:r>
        <m:r>
          <m:t>l</m:t>
        </m:r>
        <m:r>
          <m:t>y</m:t>
        </m:r>
        <m:r>
          <m:rPr>
            <m:sty m:val="p"/>
          </m:rPr>
          <m:t>*</m:t>
        </m:r>
        <m:r>
          <m:rPr>
            <m:sty m:val="p"/>
          </m:rPr>
          <m:t>*</m:t>
        </m:r>
      </m:oMath>
      <w:r>
        <w:t xml:space="preserve">5.54 per share over the final three quarters**. That is only modestly above the $5.44 earned over the same three quarters of 2025, so the existing outlook does not appear to require aggressive earnings growth.</w:t>
      </w:r>
    </w:p>
    <w:p>
      <w:pPr>
        <w:pStyle w:val="BodyText"/>
      </w:pPr>
      <w:r>
        <w:t xml:space="preserve">A simple reaffirmation would therefore be credible if:</w:t>
      </w:r>
    </w:p>
    <w:p>
      <w:pPr>
        <w:pStyle w:val="Compact"/>
        <w:numPr>
          <w:ilvl w:val="0"/>
          <w:numId w:val="1009"/>
        </w:numPr>
      </w:pPr>
      <w:r>
        <w:t xml:space="preserve">Q2 margins remain close to plan.</w:t>
      </w:r>
    </w:p>
    <w:p>
      <w:pPr>
        <w:pStyle w:val="Compact"/>
        <w:numPr>
          <w:ilvl w:val="0"/>
          <w:numId w:val="1009"/>
        </w:numPr>
      </w:pPr>
      <w:r>
        <w:t xml:space="preserve">Environmental Solutions retains its second-half growth outlook.</w:t>
      </w:r>
    </w:p>
    <w:p>
      <w:pPr>
        <w:pStyle w:val="Compact"/>
        <w:numPr>
          <w:ilvl w:val="0"/>
          <w:numId w:val="1009"/>
        </w:numPr>
      </w:pPr>
      <w:r>
        <w:t xml:space="preserve">Fuel recovery fees offset higher fuel costs.</w:t>
      </w:r>
    </w:p>
    <w:p>
      <w:pPr>
        <w:pStyle w:val="Compact"/>
        <w:numPr>
          <w:ilvl w:val="0"/>
          <w:numId w:val="1009"/>
        </w:numPr>
      </w:pPr>
      <w:r>
        <w:t xml:space="preserve">Acquisition integration remains orderly.</w:t>
      </w:r>
    </w:p>
    <w:p>
      <w:pPr>
        <w:pStyle w:val="FirstParagraph"/>
      </w:pPr>
      <w:r>
        <w:t xml:space="preserve">An EPS or free-cash-flow guidance increase would indicate that Q1’s strong cash generation and underlying margin performance were more sustainable than initially assumed.</w:t>
      </w:r>
    </w:p>
    <w:bookmarkEnd w:id="15"/>
    <w:bookmarkStart w:id="16" w:name="X394cff04d6cd730a912b99352a842919573c091"/>
    <w:p>
      <w:pPr>
        <w:pStyle w:val="Heading3"/>
      </w:pPr>
      <w:r>
        <w:t xml:space="preserve">5. Free cash flow: expect normalization after a very strong Q1</w:t>
      </w:r>
    </w:p>
    <w:p>
      <w:pPr>
        <w:pStyle w:val="FirstParagraph"/>
      </w:pPr>
      <w:r>
        <w:t xml:space="preserve">First-quarter adjusted free cash flow increased more than 35% to</w:t>
      </w:r>
      <w:r>
        <w:t xml:space="preserve"> </w:t>
      </w:r>
      <w:r>
        <w:rPr>
          <w:b/>
          <w:bCs/>
        </w:rPr>
        <w:t xml:space="preserve">$984 million</w:t>
      </w:r>
      <w:r>
        <w:t xml:space="preserve">, but management cautioned that working-capital timing contributed to the result and would reverse over the balance of the year.</w:t>
      </w:r>
    </w:p>
    <w:p>
      <w:pPr>
        <w:pStyle w:val="BodyText"/>
      </w:pPr>
      <w:r>
        <w:t xml:space="preserve">Investors should therefore avoid overreacting to a weaker sequential cash-flow number. The more relevant questions are:</w:t>
      </w:r>
    </w:p>
    <w:p>
      <w:pPr>
        <w:pStyle w:val="Compact"/>
        <w:numPr>
          <w:ilvl w:val="0"/>
          <w:numId w:val="1010"/>
        </w:numPr>
      </w:pPr>
      <w:r>
        <w:t xml:space="preserve">Is full-year adjusted FCF guidance maintained or raised?</w:t>
      </w:r>
    </w:p>
    <w:p>
      <w:pPr>
        <w:pStyle w:val="Compact"/>
        <w:numPr>
          <w:ilvl w:val="0"/>
          <w:numId w:val="1010"/>
        </w:numPr>
      </w:pPr>
      <w:r>
        <w:t xml:space="preserve">Is capital spending still tracking toward approximately $2 billion?</w:t>
      </w:r>
    </w:p>
    <w:p>
      <w:pPr>
        <w:pStyle w:val="Compact"/>
        <w:numPr>
          <w:ilvl w:val="0"/>
          <w:numId w:val="1010"/>
        </w:numPr>
      </w:pPr>
      <w:r>
        <w:t xml:space="preserve">Are receivables and working capital controlled?</w:t>
      </w:r>
    </w:p>
    <w:p>
      <w:pPr>
        <w:pStyle w:val="Compact"/>
        <w:numPr>
          <w:ilvl w:val="0"/>
          <w:numId w:val="1010"/>
        </w:numPr>
      </w:pPr>
      <w:r>
        <w:t xml:space="preserve">Does acquisition spending remain comfortably fundable?</w:t>
      </w:r>
    </w:p>
    <w:p>
      <w:pPr>
        <w:pStyle w:val="FirstParagraph"/>
      </w:pPr>
      <w:r>
        <w:t xml:space="preserve">Republic’s cash-generation profile remains a key support for acquisitions, dividends and buybacks.</w:t>
      </w:r>
    </w:p>
    <w:bookmarkEnd w:id="16"/>
    <w:bookmarkStart w:id="17" w:name="X917a49c2c762536c6b284446dcc63886ceac5d3"/>
    <w:p>
      <w:pPr>
        <w:pStyle w:val="Heading3"/>
      </w:pPr>
      <w:r>
        <w:t xml:space="preserve">6. M&amp;A, financing and leverage</w:t>
      </w:r>
    </w:p>
    <w:p>
      <w:pPr>
        <w:pStyle w:val="FirstParagraph"/>
      </w:pPr>
      <w:r>
        <w:t xml:space="preserve">Republic had invested more than</w:t>
      </w:r>
      <w:r>
        <w:t xml:space="preserve"> </w:t>
      </w:r>
      <w:r>
        <w:rPr>
          <w:b/>
          <w:bCs/>
        </w:rPr>
        <w:t xml:space="preserve">$700 million in acquisitions</w:t>
      </w:r>
      <w:r>
        <w:t xml:space="preserve"> </w:t>
      </w:r>
      <w:r>
        <w:t xml:space="preserve">by early May and expected to exceed its original approximately $1 billion acquisition target for 2026. More than 90% of the announced or signed activity at that point was in Recycling &amp; Waste.</w:t>
      </w:r>
    </w:p>
    <w:p>
      <w:pPr>
        <w:pStyle w:val="BodyText"/>
      </w:pPr>
      <w:r>
        <w:t xml:space="preserve">In June, Republic agreed to issue:</w:t>
      </w:r>
    </w:p>
    <w:p>
      <w:pPr>
        <w:pStyle w:val="Compact"/>
        <w:numPr>
          <w:ilvl w:val="0"/>
          <w:numId w:val="1011"/>
        </w:numPr>
      </w:pPr>
      <w:r>
        <w:t xml:space="preserve">$700 million of 4.75% notes due 2031</w:t>
      </w:r>
    </w:p>
    <w:p>
      <w:pPr>
        <w:pStyle w:val="Compact"/>
        <w:numPr>
          <w:ilvl w:val="0"/>
          <w:numId w:val="1011"/>
        </w:numPr>
      </w:pPr>
      <w:r>
        <w:t xml:space="preserve">$500 million of 5.00% notes due 2036</w:t>
      </w:r>
    </w:p>
    <w:p>
      <w:pPr>
        <w:pStyle w:val="FirstParagraph"/>
      </w:pPr>
      <w:r>
        <w:t xml:space="preserve">The company ended Q1 with approximately</w:t>
      </w:r>
      <w:r>
        <w:t xml:space="preserve"> </w:t>
      </w:r>
      <w:r>
        <w:rPr>
          <w:b/>
          <w:bCs/>
        </w:rPr>
        <w:t xml:space="preserve">$14 billion of debt</w:t>
      </w:r>
      <w:r>
        <w:t xml:space="preserve">, $1.8 billion of liquidity and leverage of roughly</w:t>
      </w:r>
      <w:r>
        <w:t xml:space="preserve"> </w:t>
      </w:r>
      <w:r>
        <w:rPr>
          <w:b/>
          <w:bCs/>
        </w:rPr>
        <w:t xml:space="preserve">2.6 times</w:t>
      </w:r>
      <w:r>
        <w:t xml:space="preserve">.</w:t>
      </w:r>
    </w:p>
    <w:p>
      <w:pPr>
        <w:pStyle w:val="BodyText"/>
      </w:pPr>
      <w:r>
        <w:t xml:space="preserve">Investors should ask:</w:t>
      </w:r>
    </w:p>
    <w:p>
      <w:pPr>
        <w:pStyle w:val="Compact"/>
        <w:numPr>
          <w:ilvl w:val="0"/>
          <w:numId w:val="1012"/>
        </w:numPr>
      </w:pPr>
      <w:r>
        <w:t xml:space="preserve">How much has now been spent or committed to acquisitions?</w:t>
      </w:r>
    </w:p>
    <w:p>
      <w:pPr>
        <w:pStyle w:val="Compact"/>
        <w:numPr>
          <w:ilvl w:val="0"/>
          <w:numId w:val="1012"/>
        </w:numPr>
      </w:pPr>
      <w:r>
        <w:t xml:space="preserve">How much acquired revenue is included in updated guidance?</w:t>
      </w:r>
    </w:p>
    <w:p>
      <w:pPr>
        <w:pStyle w:val="Compact"/>
        <w:numPr>
          <w:ilvl w:val="0"/>
          <w:numId w:val="1012"/>
        </w:numPr>
      </w:pPr>
      <w:r>
        <w:t xml:space="preserve">Are integration costs or acquisition mix diluting margins?</w:t>
      </w:r>
    </w:p>
    <w:p>
      <w:pPr>
        <w:pStyle w:val="Compact"/>
        <w:numPr>
          <w:ilvl w:val="0"/>
          <w:numId w:val="1012"/>
        </w:numPr>
      </w:pPr>
      <w:r>
        <w:t xml:space="preserve">Does management intend to prioritize deleveraging, repurchases or additional deals?</w:t>
      </w:r>
    </w:p>
    <w:p>
      <w:pPr>
        <w:pStyle w:val="FirstParagraph"/>
      </w:pPr>
      <w:r>
        <w:t xml:space="preserve">The acquisition program can enhance growth, but the stock’s premium valuation leaves limited room for poor capital allocation.</w:t>
      </w:r>
    </w:p>
    <w:p>
      <w:r>
        <w:pict>
          <v:rect style="width:0;height:1.5pt" o:hralign="center" o:hrstd="t" o:hr="t"/>
        </w:pict>
      </w:r>
    </w:p>
    <w:bookmarkEnd w:id="17"/>
    <w:bookmarkEnd w:id="18"/>
    <w:bookmarkStart w:id="23" w:name="other-items-to-watch"/>
    <w:p>
      <w:pPr>
        <w:pStyle w:val="Heading2"/>
      </w:pPr>
      <w:r>
        <w:t xml:space="preserve">Other items to watch</w:t>
      </w:r>
    </w:p>
    <w:bookmarkStart w:id="19" w:name="fuel-recovery"/>
    <w:p>
      <w:pPr>
        <w:pStyle w:val="Heading3"/>
      </w:pPr>
      <w:r>
        <w:t xml:space="preserve">Fuel recovery</w:t>
      </w:r>
    </w:p>
    <w:p>
      <w:pPr>
        <w:pStyle w:val="FirstParagraph"/>
      </w:pPr>
      <w:r>
        <w:t xml:space="preserve">Higher diesel prices reduced Q1 EBITDA by approximately $8 million and created a roughly 20-basis-point margin headwind. Republic’s fuel fees generally lag fuel costs by about one month, so management expected better recovery in Q2.</w:t>
      </w:r>
    </w:p>
    <w:p>
      <w:pPr>
        <w:pStyle w:val="BodyText"/>
      </w:pPr>
      <w:r>
        <w:t xml:space="preserve">Failure to recapture those costs would represent a negative change from the prior outlook.</w:t>
      </w:r>
    </w:p>
    <w:bookmarkEnd w:id="19"/>
    <w:bookmarkStart w:id="20" w:name="recycled-commodities-and-polymer-centers"/>
    <w:p>
      <w:pPr>
        <w:pStyle w:val="Heading3"/>
      </w:pPr>
      <w:r>
        <w:t xml:space="preserve">Recycled commodities and polymer centers</w:t>
      </w:r>
    </w:p>
    <w:p>
      <w:pPr>
        <w:pStyle w:val="FirstParagraph"/>
      </w:pPr>
      <w:r>
        <w:t xml:space="preserve">Average recycled commodity prices were</w:t>
      </w:r>
      <w:r>
        <w:t xml:space="preserve"> </w:t>
      </w:r>
      <w:r>
        <w:rPr>
          <w:b/>
          <w:bCs/>
        </w:rPr>
        <w:t xml:space="preserve">$120 per ton</w:t>
      </w:r>
      <w:r>
        <w:t xml:space="preserve"> </w:t>
      </w:r>
      <w:r>
        <w:t xml:space="preserve">in Q1, down $35 year over year, although increased polymer-center volumes offset the revenue effect. Management said spot pricing was approximately $125 per ton at the time of the Q1 call.</w:t>
      </w:r>
    </w:p>
    <w:p>
      <w:pPr>
        <w:pStyle w:val="BodyText"/>
      </w:pPr>
      <w:r>
        <w:t xml:space="preserve">Watch for:</w:t>
      </w:r>
    </w:p>
    <w:p>
      <w:pPr>
        <w:pStyle w:val="Compact"/>
        <w:numPr>
          <w:ilvl w:val="0"/>
          <w:numId w:val="1013"/>
        </w:numPr>
      </w:pPr>
      <w:r>
        <w:t xml:space="preserve">Updated commodity prices</w:t>
      </w:r>
    </w:p>
    <w:p>
      <w:pPr>
        <w:pStyle w:val="Compact"/>
        <w:numPr>
          <w:ilvl w:val="0"/>
          <w:numId w:val="1013"/>
        </w:numPr>
      </w:pPr>
      <w:r>
        <w:t xml:space="preserve">Polymer-center utilization</w:t>
      </w:r>
    </w:p>
    <w:p>
      <w:pPr>
        <w:pStyle w:val="Compact"/>
        <w:numPr>
          <w:ilvl w:val="0"/>
          <w:numId w:val="1013"/>
        </w:numPr>
      </w:pPr>
      <w:r>
        <w:t xml:space="preserve">Recycled-plastic spreads</w:t>
      </w:r>
    </w:p>
    <w:p>
      <w:pPr>
        <w:pStyle w:val="Compact"/>
        <w:numPr>
          <w:ilvl w:val="0"/>
          <w:numId w:val="1013"/>
        </w:numPr>
      </w:pPr>
      <w:r>
        <w:t xml:space="preserve">Progress at the Blue Polymers joint venture</w:t>
      </w:r>
    </w:p>
    <w:p>
      <w:pPr>
        <w:pStyle w:val="FirstParagraph"/>
      </w:pPr>
      <w:r>
        <w:t xml:space="preserve">Commodity weakness is manageable if processing volumes and specialized polymer economics continue to improve.</w:t>
      </w:r>
    </w:p>
    <w:bookmarkEnd w:id="20"/>
    <w:bookmarkStart w:id="21" w:name="digital-productivity"/>
    <w:p>
      <w:pPr>
        <w:pStyle w:val="Heading3"/>
      </w:pPr>
      <w:r>
        <w:t xml:space="preserve">Digital productivity</w:t>
      </w:r>
    </w:p>
    <w:p>
      <w:pPr>
        <w:pStyle w:val="FirstParagraph"/>
      </w:pPr>
      <w:r>
        <w:t xml:space="preserve">Management expects at least</w:t>
      </w:r>
      <w:r>
        <w:t xml:space="preserve"> </w:t>
      </w:r>
      <w:r>
        <w:rPr>
          <w:b/>
          <w:bCs/>
        </w:rPr>
        <w:t xml:space="preserve">$100 million of annual benefit from digital and AI investments by 2028</w:t>
      </w:r>
      <w:r>
        <w:t xml:space="preserve">, primarily from:</w:t>
      </w:r>
    </w:p>
    <w:p>
      <w:pPr>
        <w:pStyle w:val="Compact"/>
        <w:numPr>
          <w:ilvl w:val="0"/>
          <w:numId w:val="1014"/>
        </w:numPr>
      </w:pPr>
      <w:r>
        <w:t xml:space="preserve">More precise pricing</w:t>
      </w:r>
    </w:p>
    <w:p>
      <w:pPr>
        <w:pStyle w:val="Compact"/>
        <w:numPr>
          <w:ilvl w:val="0"/>
          <w:numId w:val="1014"/>
        </w:numPr>
      </w:pPr>
      <w:r>
        <w:t xml:space="preserve">AI-assisted routing and the RISE platform</w:t>
      </w:r>
    </w:p>
    <w:p>
      <w:pPr>
        <w:pStyle w:val="Compact"/>
        <w:numPr>
          <w:ilvl w:val="0"/>
          <w:numId w:val="1014"/>
        </w:numPr>
      </w:pPr>
      <w:r>
        <w:t xml:space="preserve">Call-center and customer-service productivity</w:t>
      </w:r>
    </w:p>
    <w:p>
      <w:pPr>
        <w:pStyle w:val="FirstParagraph"/>
      </w:pPr>
      <w:r>
        <w:t xml:space="preserve">Pricing benefits should begin appearing in 2026, while routing benefits are expected to become more meaningful in 2027–2028. Investors should not expect a major Q2 earnings contribution, but evidence that these programs are strengthening retention or labor productivity would support the longer-term margin story.</w:t>
      </w:r>
    </w:p>
    <w:bookmarkEnd w:id="21"/>
    <w:bookmarkStart w:id="22" w:name="capital-returns"/>
    <w:p>
      <w:pPr>
        <w:pStyle w:val="Heading3"/>
      </w:pPr>
      <w:r>
        <w:t xml:space="preserve">Capital returns</w:t>
      </w:r>
    </w:p>
    <w:p>
      <w:pPr>
        <w:pStyle w:val="FirstParagraph"/>
      </w:pPr>
      <w:r>
        <w:t xml:space="preserve">Republic recently increased its quarterly dividend from</w:t>
      </w:r>
      <w:r>
        <w:t xml:space="preserve"> </w:t>
      </w:r>
      <m:oMath>
        <m:r>
          <m:t>0.625</m:t>
        </m:r>
        <m:r>
          <m:t>t</m:t>
        </m:r>
        <m:r>
          <m:t>o</m:t>
        </m:r>
        <m:r>
          <m:rPr>
            <m:sty m:val="p"/>
          </m:rPr>
          <m:t>*</m:t>
        </m:r>
        <m:r>
          <m:rPr>
            <m:sty m:val="p"/>
          </m:rPr>
          <m:t>*</m:t>
        </m:r>
      </m:oMath>
      <w:r>
        <w:t xml:space="preserve">0.67 per share**, a 7.2% increase. The new dividend is payable October 15 to holders of record October 2.</w:t>
      </w:r>
    </w:p>
    <w:p>
      <w:pPr>
        <w:pStyle w:val="BodyText"/>
      </w:pPr>
      <w:r>
        <w:t xml:space="preserve">The increase signals confidence in cash generation, although the annualized yield is only about</w:t>
      </w:r>
      <w:r>
        <w:t xml:space="preserve"> </w:t>
      </w:r>
      <w:r>
        <w:rPr>
          <w:b/>
          <w:bCs/>
        </w:rPr>
        <w:t xml:space="preserve">1.3%</w:t>
      </w:r>
      <w:r>
        <w:t xml:space="preserve"> </w:t>
      </w:r>
      <w:r>
        <w:t xml:space="preserve">at the August 5 closing price.</w:t>
      </w:r>
    </w:p>
    <w:p>
      <w:r>
        <w:pict>
          <v:rect style="width:0;height:1.5pt" o:hralign="center" o:hrstd="t" o:hr="t"/>
        </w:pict>
      </w:r>
    </w:p>
    <w:bookmarkEnd w:id="22"/>
    <w:bookmarkEnd w:id="23"/>
    <w:bookmarkStart w:id="24" w:name="stock-setup"/>
    <w:p>
      <w:pPr>
        <w:pStyle w:val="Heading2"/>
      </w:pPr>
      <w:r>
        <w:t xml:space="preserve">Stock setup</w:t>
      </w:r>
    </w:p>
    <w:p>
      <w:pPr>
        <w:pStyle w:val="FirstParagraph"/>
      </w:pPr>
      <w:r>
        <w:t xml:space="preserve">RSG closed at</w:t>
      </w:r>
      <w:r>
        <w:t xml:space="preserve"> </w:t>
      </w:r>
      <w:r>
        <w:rPr>
          <w:b/>
          <w:bCs/>
        </w:rPr>
        <w:t xml:space="preserve">$207.06 on August 5</w:t>
      </w:r>
      <w:r>
        <w:t xml:space="preserve">. At that price:</w:t>
      </w:r>
    </w:p>
    <w:p>
      <w:pPr>
        <w:pStyle w:val="Compact"/>
        <w:numPr>
          <w:ilvl w:val="0"/>
          <w:numId w:val="1015"/>
        </w:numPr>
      </w:pPr>
      <w:r>
        <w:t xml:space="preserve">The shares trade at approximately</w:t>
      </w:r>
      <w:r>
        <w:t xml:space="preserve"> </w:t>
      </w:r>
      <w:r>
        <w:rPr>
          <w:b/>
          <w:bCs/>
        </w:rPr>
        <w:t xml:space="preserve">28.6 times</w:t>
      </w:r>
      <w:r>
        <w:t xml:space="preserve"> </w:t>
      </w:r>
      <w:r>
        <w:t xml:space="preserve">the midpoint of 2026 adjusted EPS guidance.</w:t>
      </w:r>
    </w:p>
    <w:p>
      <w:pPr>
        <w:pStyle w:val="Compact"/>
        <w:numPr>
          <w:ilvl w:val="0"/>
          <w:numId w:val="1015"/>
        </w:numPr>
      </w:pPr>
      <w:r>
        <w:t xml:space="preserve">The stock is down roughly</w:t>
      </w:r>
      <w:r>
        <w:t xml:space="preserve"> </w:t>
      </w:r>
      <w:r>
        <w:rPr>
          <w:b/>
          <w:bCs/>
        </w:rPr>
        <w:t xml:space="preserve">2% year to date</w:t>
      </w:r>
      <w:r>
        <w:t xml:space="preserve">.</w:t>
      </w:r>
    </w:p>
    <w:p>
      <w:pPr>
        <w:pStyle w:val="Compact"/>
        <w:numPr>
          <w:ilvl w:val="0"/>
          <w:numId w:val="1015"/>
        </w:numPr>
      </w:pPr>
      <w:r>
        <w:t xml:space="preserve">It is approximately</w:t>
      </w:r>
      <w:r>
        <w:t xml:space="preserve"> </w:t>
      </w:r>
      <w:r>
        <w:rPr>
          <w:b/>
          <w:bCs/>
        </w:rPr>
        <w:t xml:space="preserve">12% below</w:t>
      </w:r>
      <w:r>
        <w:t xml:space="preserve"> </w:t>
      </w:r>
      <w:r>
        <w:t xml:space="preserve">its August 6, 2025 closing price.</w:t>
      </w:r>
    </w:p>
    <w:p>
      <w:pPr>
        <w:pStyle w:val="FirstParagraph"/>
      </w:pPr>
      <w:r>
        <w:t xml:space="preserve">The pullback lowers the immediate expectations compared with last year, but a roughly 29-times earnings multiple still assumes durable pricing, consistent margin expansion and disciplined capital allocation. Merely meeting quarterly EPS expectations may not be sufficient if volume and Environmental Solutions commentary deteriorates.</w:t>
      </w:r>
    </w:p>
    <w:p>
      <w:r>
        <w:pict>
          <v:rect style="width:0;height:1.5pt" o:hralign="center" o:hrstd="t" o:hr="t"/>
        </w:pict>
      </w:r>
    </w:p>
    <w:bookmarkEnd w:id="24"/>
    <w:bookmarkStart w:id="28" w:name="scenario-analysis"/>
    <w:p>
      <w:pPr>
        <w:pStyle w:val="Heading2"/>
      </w:pPr>
      <w:r>
        <w:t xml:space="preserve">Scenario analysis</w:t>
      </w:r>
    </w:p>
    <w:bookmarkStart w:id="25" w:name="bull-case"/>
    <w:p>
      <w:pPr>
        <w:pStyle w:val="Heading3"/>
      </w:pPr>
      <w:r>
        <w:t xml:space="preserve">Bull case</w:t>
      </w:r>
    </w:p>
    <w:p>
      <w:pPr>
        <w:pStyle w:val="Compact"/>
        <w:numPr>
          <w:ilvl w:val="0"/>
          <w:numId w:val="1016"/>
        </w:numPr>
      </w:pPr>
      <w:r>
        <w:t xml:space="preserve">Revenue growth remains solid despite landfill and emergency-response comparisons.</w:t>
      </w:r>
    </w:p>
    <w:p>
      <w:pPr>
        <w:pStyle w:val="Compact"/>
        <w:numPr>
          <w:ilvl w:val="0"/>
          <w:numId w:val="1016"/>
        </w:numPr>
      </w:pPr>
      <w:r>
        <w:t xml:space="preserve">Adjusted EBITDA margin is approximately 32.1% or better.</w:t>
      </w:r>
    </w:p>
    <w:p>
      <w:pPr>
        <w:pStyle w:val="Compact"/>
        <w:numPr>
          <w:ilvl w:val="0"/>
          <w:numId w:val="1016"/>
        </w:numPr>
      </w:pPr>
      <w:r>
        <w:t xml:space="preserve">Underlying volume trends improve sequentially.</w:t>
      </w:r>
    </w:p>
    <w:p>
      <w:pPr>
        <w:pStyle w:val="Compact"/>
        <w:numPr>
          <w:ilvl w:val="0"/>
          <w:numId w:val="1016"/>
        </w:numPr>
      </w:pPr>
      <w:r>
        <w:t xml:space="preserve">Environmental Solutions backlog supports a clear second-half rebound.</w:t>
      </w:r>
    </w:p>
    <w:p>
      <w:pPr>
        <w:pStyle w:val="Compact"/>
        <w:numPr>
          <w:ilvl w:val="0"/>
          <w:numId w:val="1016"/>
        </w:numPr>
      </w:pPr>
      <w:r>
        <w:t xml:space="preserve">Full-year EPS, EBITDA or FCF guidance increases.</w:t>
      </w:r>
    </w:p>
    <w:p>
      <w:pPr>
        <w:pStyle w:val="Compact"/>
        <w:numPr>
          <w:ilvl w:val="0"/>
          <w:numId w:val="1016"/>
        </w:numPr>
      </w:pPr>
      <w:r>
        <w:t xml:space="preserve">Acquisition spending exceeds $1 billion without higher leverage concerns.</w:t>
      </w:r>
    </w:p>
    <w:bookmarkEnd w:id="25"/>
    <w:bookmarkStart w:id="26" w:name="base-case"/>
    <w:p>
      <w:pPr>
        <w:pStyle w:val="Heading3"/>
      </w:pPr>
      <w:r>
        <w:t xml:space="preserve">Base case</w:t>
      </w:r>
    </w:p>
    <w:p>
      <w:pPr>
        <w:pStyle w:val="Compact"/>
        <w:numPr>
          <w:ilvl w:val="0"/>
          <w:numId w:val="1017"/>
        </w:numPr>
      </w:pPr>
      <w:r>
        <w:t xml:space="preserve">Revenue grows modestly.</w:t>
      </w:r>
    </w:p>
    <w:p>
      <w:pPr>
        <w:pStyle w:val="Compact"/>
        <w:numPr>
          <w:ilvl w:val="0"/>
          <w:numId w:val="1017"/>
        </w:numPr>
      </w:pPr>
      <w:r>
        <w:t xml:space="preserve">Margin is flat to slightly lower, as previously indicated.</w:t>
      </w:r>
    </w:p>
    <w:p>
      <w:pPr>
        <w:pStyle w:val="Compact"/>
        <w:numPr>
          <w:ilvl w:val="0"/>
          <w:numId w:val="1017"/>
        </w:numPr>
      </w:pPr>
      <w:r>
        <w:t xml:space="preserve">Price remains comfortably ahead of cost inflation.</w:t>
      </w:r>
    </w:p>
    <w:p>
      <w:pPr>
        <w:pStyle w:val="Compact"/>
        <w:numPr>
          <w:ilvl w:val="0"/>
          <w:numId w:val="1017"/>
        </w:numPr>
      </w:pPr>
      <w:r>
        <w:t xml:space="preserve">Reported volumes remain negative but show underlying stabilization.</w:t>
      </w:r>
    </w:p>
    <w:p>
      <w:pPr>
        <w:pStyle w:val="Compact"/>
        <w:numPr>
          <w:ilvl w:val="0"/>
          <w:numId w:val="1017"/>
        </w:numPr>
      </w:pPr>
      <w:r>
        <w:t xml:space="preserve">Environmental Solutions remains weak in Q2, with management maintaining its second-half recovery forecast.</w:t>
      </w:r>
    </w:p>
    <w:p>
      <w:pPr>
        <w:pStyle w:val="Compact"/>
        <w:numPr>
          <w:ilvl w:val="0"/>
          <w:numId w:val="1017"/>
        </w:numPr>
      </w:pPr>
      <w:r>
        <w:t xml:space="preserve">Full-year guidance is reaffirmed.</w:t>
      </w:r>
    </w:p>
    <w:bookmarkEnd w:id="26"/>
    <w:bookmarkStart w:id="27" w:name="bear-case"/>
    <w:p>
      <w:pPr>
        <w:pStyle w:val="Heading3"/>
      </w:pPr>
      <w:r>
        <w:t xml:space="preserve">Bear case</w:t>
      </w:r>
    </w:p>
    <w:p>
      <w:pPr>
        <w:pStyle w:val="Compact"/>
        <w:numPr>
          <w:ilvl w:val="0"/>
          <w:numId w:val="1018"/>
        </w:numPr>
      </w:pPr>
      <w:r>
        <w:t xml:space="preserve">Margin falls materially below 32%.</w:t>
      </w:r>
    </w:p>
    <w:p>
      <w:pPr>
        <w:pStyle w:val="Compact"/>
        <w:numPr>
          <w:ilvl w:val="0"/>
          <w:numId w:val="1018"/>
        </w:numPr>
      </w:pPr>
      <w:r>
        <w:t xml:space="preserve">Yield slips below the full-year target or volume worsens beyond project-related comparisons.</w:t>
      </w:r>
    </w:p>
    <w:p>
      <w:pPr>
        <w:pStyle w:val="Compact"/>
        <w:numPr>
          <w:ilvl w:val="0"/>
          <w:numId w:val="1018"/>
        </w:numPr>
      </w:pPr>
      <w:r>
        <w:t xml:space="preserve">Fuel, labor, maintenance or acquisition integration creates unexpected cost pressure.</w:t>
      </w:r>
    </w:p>
    <w:p>
      <w:pPr>
        <w:pStyle w:val="Compact"/>
        <w:numPr>
          <w:ilvl w:val="0"/>
          <w:numId w:val="1018"/>
        </w:numPr>
      </w:pPr>
      <w:r>
        <w:t xml:space="preserve">Environmental Solutions’ recovery is delayed.</w:t>
      </w:r>
    </w:p>
    <w:p>
      <w:pPr>
        <w:pStyle w:val="Compact"/>
        <w:numPr>
          <w:ilvl w:val="0"/>
          <w:numId w:val="1018"/>
        </w:numPr>
      </w:pPr>
      <w:r>
        <w:t xml:space="preserve">Free-cash-flow or earnings guidance is reduced.</w:t>
      </w:r>
    </w:p>
    <w:p>
      <w:pPr>
        <w:pStyle w:val="Compact"/>
        <w:numPr>
          <w:ilvl w:val="0"/>
          <w:numId w:val="1018"/>
        </w:numPr>
      </w:pPr>
      <w:r>
        <w:t xml:space="preserve">Higher acquisition spending pushes leverage upward without a corresponding improvement in growth.</w:t>
      </w:r>
    </w:p>
    <w:p>
      <w:r>
        <w:pict>
          <v:rect style="width:0;height:1.5pt" o:hralign="center" o:hrstd="t" o:hr="t"/>
        </w:pict>
      </w:r>
    </w:p>
    <w:bookmarkEnd w:id="27"/>
    <w:bookmarkEnd w:id="28"/>
    <w:bookmarkStart w:id="29" w:name="bottom-line"/>
    <w:p>
      <w:pPr>
        <w:pStyle w:val="Heading2"/>
      </w:pPr>
      <w:r>
        <w:t xml:space="preserve">Bottom line</w:t>
      </w:r>
    </w:p>
    <w:p>
      <w:pPr>
        <w:pStyle w:val="FirstParagraph"/>
      </w:pPr>
      <w:r>
        <w:t xml:space="preserve">The most important question is not whether Republic produces an eye-catching Q2 growth rate. It is whether the company can</w:t>
      </w:r>
      <w:r>
        <w:t xml:space="preserve"> </w:t>
      </w:r>
      <w:r>
        <w:rPr>
          <w:b/>
          <w:bCs/>
        </w:rPr>
        <w:t xml:space="preserve">absorb known comparison headwinds while preserving its pricing, underlying margins and full-year outlook</w:t>
      </w:r>
      <w:r>
        <w:t xml:space="preserve">.</w:t>
      </w:r>
    </w:p>
    <w:p>
      <w:pPr>
        <w:pStyle w:val="BodyText"/>
      </w:pPr>
      <w:r>
        <w:t xml:space="preserve">A quarter featuring approximately 32% margins, improving underlying volumes, credible Environmental Solutions backlog and reaffirmed or higher guidance would support the long-term thesis. Conversely, broad-based margin weakness or another delay in the Environmental Solutions recovery would be difficult to reconcile with RSG’s premium valuation.</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2026-08-06T01:13:36Z</dcterms:created>
  <dcterms:modified xsi:type="dcterms:W3CDTF">2026-08-06T01:13:36Z</dcterms:modified>
</cp:coreProperties>
</file>

<file path=docProps/custom.xml><?xml version="1.0" encoding="utf-8"?>
<Properties xmlns="http://schemas.openxmlformats.org/officeDocument/2006/custom-properties" xmlns:vt="http://schemas.openxmlformats.org/officeDocument/2006/docPropsVTypes"/>
</file>