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1f31217b1616fbf8bacb6fe23e14c9abab03dc"/>
    <w:p>
      <w:pPr>
        <w:pStyle w:val="Heading1"/>
      </w:pPr>
      <w:r>
        <w:t xml:space="preserve">Republic Services (NYSE: RSG) — 2Q26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The event date provided is</w:t>
      </w:r>
      <w:r>
        <w:t xml:space="preserve"> </w:t>
      </w:r>
      <w:r>
        <w:rPr>
          <w:b/>
          <w:bCs/>
        </w:rPr>
        <w:t xml:space="preserve">Thursday, August 6, 2026</w:t>
      </w:r>
      <w:r>
        <w:t xml:space="preserve">, which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This preview is therefore framed for results expected after the market close on August 6 and the accompanying earnings call.</w:t>
      </w:r>
    </w:p>
    <w:bookmarkStart w:id="9" w:name="Xe97685f5cb5f8ff371a867a3016748d2abab036"/>
    <w:p>
      <w:pPr>
        <w:pStyle w:val="Heading2"/>
      </w:pPr>
      <w:r>
        <w:t xml:space="preserve">Investment view: the quarter is about</w:t>
      </w:r>
      <w:r>
        <w:t xml:space="preserve"> </w:t>
      </w:r>
      <w:r>
        <w:rPr>
          <w:i/>
          <w:iCs/>
        </w:rPr>
        <w:t xml:space="preserve">proof of the second-half setup</w:t>
      </w:r>
      <w:r>
        <w:t xml:space="preserve">, not merely the EPS print</w:t>
      </w:r>
    </w:p>
    <w:p>
      <w:pPr>
        <w:pStyle w:val="FirstParagraph"/>
      </w:pPr>
      <w:r>
        <w:t xml:space="preserve">Republic Services enters 2Q26 with its core solid-waste franchise still executing well on price, cost control, acquisitions, and shareholder returns. The near-term debate is whether that durability can offset an anticipated weak volume/margin comparison in the quarter—and whether management can sustain full-year guidance while reaffirming a better trajectory for Environmental Solutions in the second half.</w:t>
      </w:r>
    </w:p>
    <w:p>
      <w:pPr>
        <w:pStyle w:val="BodyText"/>
      </w:pPr>
      <w:r>
        <w:t xml:space="preserve">The company itself set a relatively conservative near-term bar on its May call: it expected</w:t>
      </w:r>
      <w:r>
        <w:t xml:space="preserve"> </w:t>
      </w:r>
      <w:r>
        <w:rPr>
          <w:b/>
          <w:bCs/>
        </w:rPr>
        <w:t xml:space="preserve">2Q adjusted EBITDA margin to be roughly flat to slightly down year over year</w:t>
      </w:r>
      <w:r>
        <w:t xml:space="preserve">, principally because of unfavorable comparisons in project-related landfill volumes. That makes the quality of the result—pricing, underlying margin, volumes excluding project work, and Environmental Solutions bookings—more important than a modest EPS beat or miss.</w:t>
      </w:r>
    </w:p>
    <w:bookmarkEnd w:id="9"/>
    <w:bookmarkStart w:id="14" w:name="what-matters-most-going-into-the-print"/>
    <w:p>
      <w:pPr>
        <w:pStyle w:val="Heading2"/>
      </w:pPr>
      <w:r>
        <w:t xml:space="preserve">What matters most going into the print</w:t>
      </w:r>
    </w:p>
    <w:bookmarkStart w:id="10" w:name="Xaabf1a798a1ee53155082868b642db9e41719e8"/>
    <w:p>
      <w:pPr>
        <w:pStyle w:val="Heading3"/>
      </w:pPr>
      <w:r>
        <w:t xml:space="preserve">1. Can price and productivity continue to outrun cost inflation?</w:t>
      </w:r>
    </w:p>
    <w:p>
      <w:pPr>
        <w:pStyle w:val="FirstParagraph"/>
      </w:pPr>
      <w:r>
        <w:t xml:space="preserve">RSG’s central earnings engine remains disciplined pricing plus self-help. In 1Q26, core price rose</w:t>
      </w:r>
      <w:r>
        <w:t xml:space="preserve"> </w:t>
      </w:r>
      <w:r>
        <w:rPr>
          <w:b/>
          <w:bCs/>
        </w:rPr>
        <w:t xml:space="preserve">5.7% of total revenue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6.8% of related-business revenue</w:t>
      </w:r>
      <w:r>
        <w:t xml:space="preserve">, while adjusted EBITDA margin expanded</w:t>
      </w:r>
      <w:r>
        <w:t xml:space="preserve"> </w:t>
      </w:r>
      <w:r>
        <w:rPr>
          <w:b/>
          <w:bCs/>
        </w:rPr>
        <w:t xml:space="preserve">50 bps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32.1%</w:t>
      </w:r>
      <w:r>
        <w:t xml:space="preserve">. Management attributed underlying margin expansion to cost execution and productivity, partly offset by fuel, commodity prices, acquisitions, and a favorable legal item.</w:t>
      </w:r>
    </w:p>
    <w:p>
      <w:pPr>
        <w:pStyle w:val="BodyText"/>
      </w:pPr>
      <w:r>
        <w:t xml:space="preserve">For 2Q, investors should focus on: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Core price and average yield:</w:t>
      </w:r>
      <w:r>
        <w:t xml:space="preserve"> </w:t>
      </w:r>
      <w:r>
        <w:t xml:space="preserve">Full-year guidance calls for total-company average yield growth of</w:t>
      </w:r>
      <w:r>
        <w:t xml:space="preserve"> </w:t>
      </w:r>
      <w:r>
        <w:rPr>
          <w:b/>
          <w:bCs/>
        </w:rPr>
        <w:t xml:space="preserve">3.2%–3.7%</w:t>
      </w:r>
      <w:r>
        <w:t xml:space="preserve">. A result around that framework would support the outlook, while further sharp deceleration would raise questions on price retention and competitive intensity.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Margin excluding project-volume effects:</w:t>
      </w:r>
      <w:r>
        <w:t xml:space="preserve"> </w:t>
      </w:r>
      <w:r>
        <w:t xml:space="preserve">Management has already flagged flat-to-slightly-down reported 2Q margin. The key question is whether the</w:t>
      </w:r>
      <w:r>
        <w:t xml:space="preserve"> </w:t>
      </w:r>
      <w:r>
        <w:rPr>
          <w:i/>
          <w:iCs/>
        </w:rPr>
        <w:t xml:space="preserve">underlying</w:t>
      </w:r>
      <w:r>
        <w:t xml:space="preserve"> </w:t>
      </w:r>
      <w:r>
        <w:t xml:space="preserve">business still expands margins after stripping out landfill-project comparisons.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Fuel-cost recovery:</w:t>
      </w:r>
      <w:r>
        <w:t xml:space="preserve"> </w:t>
      </w:r>
      <w:r>
        <w:t xml:space="preserve">In 1Q, diesel inflation cost roughly $8 million, but RSG expected fuel-recovery fees to begin catching up in 2Q. Evidence that recovery is working would remove a potential second-half headwind.</w:t>
      </w:r>
    </w:p>
    <w:p>
      <w:pPr>
        <w:pStyle w:val="FirstParagraph"/>
      </w:pPr>
      <w:r>
        <w:rPr>
          <w:b/>
          <w:bCs/>
        </w:rPr>
        <w:t xml:space="preserve">Takeaway:</w:t>
      </w:r>
      <w:r>
        <w:t xml:space="preserve"> </w:t>
      </w:r>
      <w:r>
        <w:t xml:space="preserve">A modestly lower reported margin is not necessarily negative if management demonstrates that core price, labor productivity, route efficiency, maintenance programs, and fuel recovery are performing as planned.</w:t>
      </w:r>
    </w:p>
    <w:p>
      <w:r>
        <w:pict>
          <v:rect style="width:0;height:1.5pt" o:hralign="center" o:hrstd="t" o:hr="t"/>
        </w:pict>
      </w:r>
    </w:p>
    <w:bookmarkEnd w:id="10"/>
    <w:bookmarkStart w:id="11" w:name="X52efaa4ffc24e0497d52129860094e3ef379f59"/>
    <w:p>
      <w:pPr>
        <w:pStyle w:val="Heading3"/>
      </w:pPr>
      <w:r>
        <w:t xml:space="preserve">2. Volume remains the swing factor—especially landfill and commercial activity</w:t>
      </w:r>
    </w:p>
    <w:p>
      <w:pPr>
        <w:pStyle w:val="FirstParagraph"/>
      </w:pPr>
      <w:r>
        <w:t xml:space="preserve">The 1Q result showed improving sequential trends in landfill, large-container, and small-container activity, though reported related-business volume was still down</w:t>
      </w:r>
      <w:r>
        <w:t xml:space="preserve"> </w:t>
      </w:r>
      <w:r>
        <w:rPr>
          <w:b/>
          <w:bCs/>
        </w:rPr>
        <w:t xml:space="preserve">1.0%</w:t>
      </w:r>
      <w:r>
        <w:t xml:space="preserve">. Management cited severe weather as a roughly</w:t>
      </w:r>
      <w:r>
        <w:t xml:space="preserve"> </w:t>
      </w:r>
      <w:r>
        <w:rPr>
          <w:b/>
          <w:bCs/>
        </w:rPr>
        <w:t xml:space="preserve">$30 million</w:t>
      </w:r>
      <w:r>
        <w:t xml:space="preserve"> </w:t>
      </w:r>
      <w:r>
        <w:t xml:space="preserve">1Q volume headwind and described early “green shoots” in demand, particularly in special waste and temporary large-container activity.</w:t>
      </w:r>
    </w:p>
    <w:p>
      <w:pPr>
        <w:pStyle w:val="BodyText"/>
      </w:pPr>
      <w:r>
        <w:t xml:space="preserve">However, 2Q26 faces a difficult comparison. In 2Q25, volume increased</w:t>
      </w:r>
      <w:r>
        <w:t xml:space="preserve"> </w:t>
      </w:r>
      <w:r>
        <w:rPr>
          <w:b/>
          <w:bCs/>
        </w:rPr>
        <w:t xml:space="preserve">0.2%</w:t>
      </w:r>
      <w:r>
        <w:t xml:space="preserve">, supported by very strong construction-and-demolition and special-waste activity. RSG explicitly warned that project-related landfill volumes would pressure both 2Q and 3Q year-over-year volume and margin comparisons before volumes turn positive in 4Q.</w:t>
      </w:r>
    </w:p>
    <w:p>
      <w:pPr>
        <w:pStyle w:val="BodyText"/>
      </w:pPr>
      <w:r>
        <w:t xml:space="preserve">Key datapoints: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Landfill municipal-solid-waste and special-waste volumes.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Temporary large-container trends</w:t>
      </w:r>
      <w:r>
        <w:t xml:space="preserve">, which can be an early indicator for commercial formation and construction activity.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Construction-and-demolition volumes</w:t>
      </w:r>
      <w:r>
        <w:t xml:space="preserve">, where prior-year project activity makes the comparison challenging.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Residential volumes</w:t>
      </w:r>
      <w:r>
        <w:t xml:space="preserve">, expected to remain negative as RSG allows low-return municipal contracts to roll off rather than chase uneconomic business.</w:t>
      </w:r>
    </w:p>
    <w:p>
      <w:pPr>
        <w:pStyle w:val="FirstParagraph"/>
      </w:pPr>
      <w:r>
        <w:t xml:space="preserve">The appropriate interpretation is nuanced: negative volume may be consistent with the company’s plan, but a deterioration outside known project and residential-contract effects would be a genuine concern.</w:t>
      </w:r>
    </w:p>
    <w:p>
      <w:r>
        <w:pict>
          <v:rect style="width:0;height:1.5pt" o:hralign="center" o:hrstd="t" o:hr="t"/>
        </w:pict>
      </w:r>
    </w:p>
    <w:bookmarkEnd w:id="11"/>
    <w:bookmarkStart w:id="12" w:name="Xea6bf795dba2652e22793562b6a98d2d21ec586"/>
    <w:p>
      <w:pPr>
        <w:pStyle w:val="Heading3"/>
      </w:pPr>
      <w:r>
        <w:t xml:space="preserve">3. Environmental Solutions needs to show tangible progress, even if the P&amp;L recovery is back-half weighted</w:t>
      </w:r>
    </w:p>
    <w:p>
      <w:pPr>
        <w:pStyle w:val="FirstParagraph"/>
      </w:pPr>
      <w:r>
        <w:t xml:space="preserve">Environmental Solutions (ES) was the soft spot in 1Q: revenue declined</w:t>
      </w:r>
      <w:r>
        <w:t xml:space="preserve"> </w:t>
      </w:r>
      <w:r>
        <w:rPr>
          <w:b/>
          <w:bCs/>
        </w:rPr>
        <w:t xml:space="preserve">$44 million year over year</w:t>
      </w:r>
      <w:r>
        <w:t xml:space="preserve">, or</w:t>
      </w:r>
      <w:r>
        <w:t xml:space="preserve"> </w:t>
      </w:r>
      <w:r>
        <w:rPr>
          <w:b/>
          <w:bCs/>
        </w:rPr>
        <w:t xml:space="preserve">1.3% of total revenue</w:t>
      </w:r>
      <w:r>
        <w:t xml:space="preserve">, and adjusted EBITDA margin was</w:t>
      </w:r>
      <w:r>
        <w:t xml:space="preserve"> </w:t>
      </w:r>
      <w:r>
        <w:rPr>
          <w:b/>
          <w:bCs/>
        </w:rPr>
        <w:t xml:space="preserve">19.2%</w:t>
      </w:r>
      <w:r>
        <w:t xml:space="preserve">, versus</w:t>
      </w:r>
      <w:r>
        <w:t xml:space="preserve"> </w:t>
      </w:r>
      <w:r>
        <w:rPr>
          <w:b/>
          <w:bCs/>
        </w:rPr>
        <w:t xml:space="preserve">20.8%</w:t>
      </w:r>
      <w:r>
        <w:t xml:space="preserve"> </w:t>
      </w:r>
      <w:r>
        <w:t xml:space="preserve">a year earlier. Part of the decline reflected a nonrecurring emergency-response project in 2025, but management also acknowledged prior pricing and market-related weakness.</w:t>
      </w:r>
    </w:p>
    <w:p>
      <w:pPr>
        <w:pStyle w:val="BodyText"/>
      </w:pPr>
      <w:r>
        <w:t xml:space="preserve">The company’s message has been that it has found the bottom, improved pricing discipline, and expects</w:t>
      </w:r>
      <w:r>
        <w:t xml:space="preserve"> </w:t>
      </w:r>
      <w:r>
        <w:rPr>
          <w:b/>
          <w:bCs/>
        </w:rPr>
        <w:t xml:space="preserve">year-over-year ES revenue growth in the second half of 2026</w:t>
      </w:r>
      <w:r>
        <w:t xml:space="preserve"> </w:t>
      </w:r>
      <w:r>
        <w:t xml:space="preserve">as its sales pipeline converts.</w:t>
      </w:r>
    </w:p>
    <w:p>
      <w:pPr>
        <w:pStyle w:val="BodyText"/>
      </w:pPr>
      <w:r>
        <w:t xml:space="preserve">For the 2Q report, investors should look for:</w:t>
      </w:r>
    </w:p>
    <w:p>
      <w:pPr>
        <w:pStyle w:val="Compact"/>
        <w:numPr>
          <w:ilvl w:val="0"/>
          <w:numId w:val="1003"/>
        </w:numPr>
      </w:pPr>
      <w:r>
        <w:t xml:space="preserve">Confirmation that ES demand and pipeline conversion are improving.</w:t>
      </w:r>
    </w:p>
    <w:p>
      <w:pPr>
        <w:pStyle w:val="Compact"/>
        <w:numPr>
          <w:ilvl w:val="0"/>
          <w:numId w:val="1003"/>
        </w:numPr>
      </w:pPr>
      <w:r>
        <w:t xml:space="preserve">Commentary on the mix between recurring integrated waste services, remediation, emergency response, petrochemical work, biotech, and other project activity.</w:t>
      </w:r>
    </w:p>
    <w:p>
      <w:pPr>
        <w:pStyle w:val="Compact"/>
        <w:numPr>
          <w:ilvl w:val="0"/>
          <w:numId w:val="1003"/>
        </w:numPr>
      </w:pPr>
      <w:r>
        <w:t xml:space="preserve">Sequential improvement in revenue or margin, even if year-over-year comparisons remain pressured.</w:t>
      </w:r>
    </w:p>
    <w:p>
      <w:pPr>
        <w:pStyle w:val="Compact"/>
        <w:numPr>
          <w:ilvl w:val="0"/>
          <w:numId w:val="1003"/>
        </w:numPr>
      </w:pPr>
      <w:r>
        <w:t xml:space="preserve">The credibility of the second-half growth outlook.</w:t>
      </w:r>
    </w:p>
    <w:p>
      <w:pPr>
        <w:pStyle w:val="FirstParagraph"/>
      </w:pPr>
      <w:r>
        <w:t xml:space="preserve">This is likely the largest source of potential upside or downside to sentiment. A clear, specific explanation of contracted work beginning in late 2Q/3Q would reinforce the recovery thesis; another vague promise of improvement would likely not.</w:t>
      </w:r>
    </w:p>
    <w:p>
      <w:r>
        <w:pict>
          <v:rect style="width:0;height:1.5pt" o:hralign="center" o:hrstd="t" o:hr="t"/>
        </w:pict>
      </w:r>
    </w:p>
    <w:bookmarkEnd w:id="12"/>
    <w:bookmarkStart w:id="13" w:name="X1e1a377220ac39a686badb37ae0fd9a96df35a0"/>
    <w:p>
      <w:pPr>
        <w:pStyle w:val="Heading3"/>
      </w:pPr>
      <w:r>
        <w:t xml:space="preserve">4. Guidance is likely the decisive catalyst</w:t>
      </w:r>
    </w:p>
    <w:p>
      <w:pPr>
        <w:pStyle w:val="FirstParagraph"/>
      </w:pPr>
      <w:r>
        <w:t xml:space="preserve">RSG’s full-year 2026 guidance remains: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 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17.05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17.15B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5.475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5.525B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7.20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7.28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free cash flow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2.52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2.56B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Acquisitions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$1.0B</w:t>
            </w:r>
            <w:r>
              <w:t xml:space="preserve"> </w:t>
            </w:r>
            <w:r>
              <w:t xml:space="preserve">initially; management indicated it now expects to exceed $1B</w:t>
            </w:r>
          </w:p>
        </w:tc>
      </w:tr>
    </w:tbl>
    <w:p>
      <w:pPr>
        <w:pStyle w:val="BodyText"/>
      </w:pPr>
      <w:r>
        <w:t xml:space="preserve">At the midpoint, revenue guidance implies approximately</w:t>
      </w:r>
      <w:r>
        <w:t xml:space="preserve"> </w:t>
      </w:r>
      <w:r>
        <w:rPr>
          <w:b/>
          <w:bCs/>
        </w:rPr>
        <w:t xml:space="preserve">3.1% growth</w:t>
      </w:r>
      <w:r>
        <w:t xml:space="preserve"> </w:t>
      </w:r>
      <w:r>
        <w:t xml:space="preserve">versus 2025. The company delivered 2.6% revenue growth in 1Q, so it does not need a blockbuster 2Q to remain on track—but it does need to preserve confidence in a stronger back half.</w:t>
      </w:r>
    </w:p>
    <w:p>
      <w:pPr>
        <w:pStyle w:val="BodyText"/>
      </w:pPr>
      <w:r>
        <w:rPr>
          <w:b/>
          <w:bCs/>
        </w:rPr>
        <w:t xml:space="preserve">Base-case expectation:</w:t>
      </w:r>
      <w:r>
        <w:t xml:space="preserve"> </w:t>
      </w:r>
      <w:r>
        <w:t xml:space="preserve">Reiteration of full-year guidance should be achievable if price/cost execution remains intact and management maintains its second-half ES recovery and 4Q volume-improvement outlook.</w:t>
      </w:r>
    </w:p>
    <w:p>
      <w:pPr>
        <w:pStyle w:val="BodyText"/>
      </w:pPr>
      <w:r>
        <w:rPr>
          <w:b/>
          <w:bCs/>
        </w:rPr>
        <w:t xml:space="preserve">Potential bullish signal:</w:t>
      </w:r>
      <w:r>
        <w:t xml:space="preserve"> </w:t>
      </w:r>
      <w:r>
        <w:t xml:space="preserve">Raising the lower end of free-cash-flow or EPS guidance, or increasing the acquisition outlook with no deterioration in leverage discipline.</w:t>
      </w:r>
    </w:p>
    <w:p>
      <w:pPr>
        <w:pStyle w:val="BodyText"/>
      </w:pPr>
      <w:r>
        <w:rPr>
          <w:b/>
          <w:bCs/>
        </w:rPr>
        <w:t xml:space="preserve">Potential negative signal:</w:t>
      </w:r>
      <w:r>
        <w:t xml:space="preserve"> </w:t>
      </w:r>
      <w:r>
        <w:t xml:space="preserve">Any reduction in revenue or EBITDA expectations due to volumes, ES delays, fuel, price retention, or weaker-than-expected economic activity.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5" w:name="Xab5dd1e48cbcee420da1220eeac2851469b3c37"/>
    <w:p>
      <w:pPr>
        <w:pStyle w:val="Heading2"/>
      </w:pPr>
      <w:r>
        <w:t xml:space="preserve">Prior-year comparison: the bar is not trivial</w:t>
      </w:r>
    </w:p>
    <w:p>
      <w:pPr>
        <w:pStyle w:val="FirstParagraph"/>
      </w:pPr>
      <w:r>
        <w:t xml:space="preserve">2Q25 was a strong quarter: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2Q25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Result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$4.235B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$1.77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$1.361B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32.1%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Core price / total 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5.7%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Total-company volume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+0.2%</w:t>
            </w:r>
          </w:p>
        </w:tc>
      </w:tr>
    </w:tbl>
    <w:p>
      <w:pPr>
        <w:pStyle w:val="BodyText"/>
      </w:pPr>
      <w:r>
        <w:t xml:space="preserve">Thus, the market should not expect a repeat of last year’s</w:t>
      </w:r>
      <w:r>
        <w:t xml:space="preserve"> </w:t>
      </w:r>
      <w:r>
        <w:rPr>
          <w:b/>
          <w:bCs/>
        </w:rPr>
        <w:t xml:space="preserve">100 bps</w:t>
      </w:r>
      <w:r>
        <w:t xml:space="preserve"> </w:t>
      </w:r>
      <w:r>
        <w:t xml:space="preserve">adjusted EBITDA margin expansion. Management has essentially preconditioned investors for a flat-to-slightly-down margin year over year in 2Q26 because of landfill-project comparisons. The relevant question is whether the remainder of the business continues to generate healthy incremental margins.</w:t>
      </w:r>
    </w:p>
    <w:p>
      <w:r>
        <w:pict>
          <v:rect style="width:0;height:1.5pt" o:hralign="center" o:hrstd="t" o:hr="t"/>
        </w:pict>
      </w:r>
    </w:p>
    <w:bookmarkEnd w:id="15"/>
    <w:bookmarkStart w:id="16" w:name="Xefbdce83366ab102e751713f8b0613a594ac0d1"/>
    <w:p>
      <w:pPr>
        <w:pStyle w:val="Heading2"/>
      </w:pPr>
      <w:r>
        <w:t xml:space="preserve">Capital allocation and balance sheet: quietly constructive</w:t>
      </w:r>
    </w:p>
    <w:p>
      <w:pPr>
        <w:pStyle w:val="FirstParagraph"/>
      </w:pPr>
      <w:r>
        <w:t xml:space="preserve">RSG continues to deploy capital aggressively but within its stated framework:</w:t>
      </w:r>
    </w:p>
    <w:p>
      <w:pPr>
        <w:pStyle w:val="Compact"/>
        <w:numPr>
          <w:ilvl w:val="0"/>
          <w:numId w:val="1004"/>
        </w:numPr>
      </w:pPr>
      <w:r>
        <w:t xml:space="preserve">It had already invested more than</w:t>
      </w:r>
      <w:r>
        <w:t xml:space="preserve"> </w:t>
      </w:r>
      <m:oMath>
        <m:r>
          <m:t>700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a</m:t>
        </m:r>
        <m:r>
          <m:t>c</m:t>
        </m:r>
        <m:r>
          <m:t>q</m:t>
        </m:r>
        <m:r>
          <m:t>u</m:t>
        </m:r>
        <m:r>
          <m:t>i</m:t>
        </m:r>
        <m:r>
          <m:t>s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t>s</m:t>
        </m:r>
        <m:r>
          <m:t>b</m:t>
        </m:r>
        <m:r>
          <m:t>y</m:t>
        </m:r>
        <m:r>
          <m:t>t</m:t>
        </m:r>
        <m:r>
          <m:t>h</m:t>
        </m:r>
        <m:r>
          <m:t>e</m:t>
        </m:r>
        <m:r>
          <m:t>M</m:t>
        </m:r>
        <m:r>
          <m:t>a</m:t>
        </m:r>
        <m:r>
          <m:t>y</m:t>
        </m:r>
        <m:r>
          <m:t>c</m:t>
        </m:r>
        <m:r>
          <m:t>a</m:t>
        </m:r>
        <m:r>
          <m:t>l</m:t>
        </m:r>
        <m:r>
          <m:t>l</m:t>
        </m:r>
        <m:r>
          <m:t>a</m:t>
        </m:r>
        <m:r>
          <m:t>n</m:t>
        </m:r>
        <m:r>
          <m:t>d</m:t>
        </m:r>
        <m:r>
          <m:t>n</m:t>
        </m:r>
        <m:r>
          <m:t>o</m:t>
        </m:r>
        <m:r>
          <m:t>w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s</m:t>
        </m:r>
        <m:r>
          <m:t>t</m:t>
        </m:r>
        <m:r>
          <m:t>o</m:t>
        </m:r>
        <m:r>
          <m:t>e</m:t>
        </m:r>
        <m:r>
          <m:t>x</m:t>
        </m:r>
        <m:r>
          <m:t>c</m:t>
        </m:r>
        <m:r>
          <m:t>e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 billion</w:t>
      </w:r>
      <w:r>
        <w:t xml:space="preserve"> </w:t>
      </w:r>
      <w:r>
        <w:t xml:space="preserve">for the year.</w:t>
      </w:r>
    </w:p>
    <w:p>
      <w:pPr>
        <w:pStyle w:val="Compact"/>
        <w:numPr>
          <w:ilvl w:val="0"/>
          <w:numId w:val="1004"/>
        </w:numPr>
      </w:pPr>
      <w:r>
        <w:t xml:space="preserve">1Q repurchases totaled</w:t>
      </w:r>
      <w:r>
        <w:t xml:space="preserve"> </w:t>
      </w:r>
      <m:oMath>
        <m:r>
          <m:t>314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t</m:t>
        </m:r>
        <m:r>
          <m:t>h</m:t>
        </m:r>
        <m:r>
          <m:t>e</m:t>
        </m:r>
        <m:r>
          <m:t>c</m:t>
        </m:r>
        <m:r>
          <m:t>o</m:t>
        </m:r>
        <m:r>
          <m:t>m</m:t>
        </m:r>
        <m:r>
          <m:t>p</m:t>
        </m:r>
        <m:r>
          <m:t>a</m:t>
        </m:r>
        <m:r>
          <m:t>n</m:t>
        </m:r>
        <m:r>
          <m:t>y</m:t>
        </m:r>
        <m:r>
          <m:t>h</m:t>
        </m:r>
        <m:r>
          <m:t>a</m:t>
        </m:r>
        <m:r>
          <m:t>d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1.3 billion</w:t>
      </w:r>
      <w:r>
        <w:t xml:space="preserve"> </w:t>
      </w:r>
      <w:r>
        <w:t xml:space="preserve">remaining on its authorization as of March 31.</w:t>
      </w:r>
    </w:p>
    <w:p>
      <w:pPr>
        <w:pStyle w:val="Compact"/>
        <w:numPr>
          <w:ilvl w:val="0"/>
          <w:numId w:val="1004"/>
        </w:numPr>
      </w:pPr>
      <w:r>
        <w:t xml:space="preserve">Net leverage was about</w:t>
      </w:r>
      <w:r>
        <w:t xml:space="preserve"> </w:t>
      </w:r>
      <w:r>
        <w:rPr>
          <w:b/>
          <w:bCs/>
        </w:rPr>
        <w:t xml:space="preserve">2.6x</w:t>
      </w:r>
      <w:r>
        <w:t xml:space="preserve"> </w:t>
      </w:r>
      <w:r>
        <w:t xml:space="preserve">at the end of 1Q, with total liquidity of</w:t>
      </w:r>
      <w:r>
        <w:t xml:space="preserve"> </w:t>
      </w:r>
      <w:r>
        <w:rPr>
          <w:b/>
          <w:bCs/>
        </w:rPr>
        <w:t xml:space="preserve">$1.8 billion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On July 28, the board raised the quarterly dividend by</w:t>
      </w:r>
      <w:r>
        <w:t xml:space="preserve"> </w:t>
      </w:r>
      <m:oMath>
        <m:r>
          <m:t>0.045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0.67 per share</w:t>
      </w:r>
      <w:r>
        <w:t xml:space="preserve">, payable October 15 to shareholders of record October 2.</w:t>
      </w:r>
    </w:p>
    <w:p>
      <w:pPr>
        <w:pStyle w:val="FirstParagraph"/>
      </w:pPr>
      <w:r>
        <w:t xml:space="preserve">The dividend increase is a favorable pre-earnings signal about management’s confidence in cash generation. At the August 5 closing price of</w:t>
      </w:r>
      <w:r>
        <w:t xml:space="preserve"> </w:t>
      </w:r>
      <w:r>
        <w:rPr>
          <w:b/>
          <w:bCs/>
        </w:rPr>
        <w:t xml:space="preserve">$207.06</w:t>
      </w:r>
      <w:r>
        <w:t xml:space="preserve">, the new annualized dividend implies an approximate</w:t>
      </w:r>
      <w:r>
        <w:t xml:space="preserve"> </w:t>
      </w:r>
      <w:r>
        <w:rPr>
          <w:b/>
          <w:bCs/>
        </w:rPr>
        <w:t xml:space="preserve">1.3% yield</w:t>
      </w:r>
      <w:r>
        <w:t xml:space="preserve">.</w:t>
      </w:r>
    </w:p>
    <w:p>
      <w:pPr>
        <w:pStyle w:val="BodyText"/>
      </w:pPr>
      <w:r>
        <w:t xml:space="preserve">What investors should monitor: acquisition pace and strategic fit, acquisition dilution/integration costs, leverage, and whether buybacks remain meaningful after the increased M&amp;A spend.</w:t>
      </w:r>
    </w:p>
    <w:p>
      <w:r>
        <w:pict>
          <v:rect style="width:0;height:1.5pt" o:hralign="center" o:hrstd="t" o:hr="t"/>
        </w:pict>
      </w:r>
    </w:p>
    <w:bookmarkEnd w:id="16"/>
    <w:bookmarkStart w:id="17" w:name="stock-setup-and-valuation-context"/>
    <w:p>
      <w:pPr>
        <w:pStyle w:val="Heading2"/>
      </w:pPr>
      <w:r>
        <w:t xml:space="preserve">Stock setup and valuation context</w:t>
      </w:r>
    </w:p>
    <w:p>
      <w:pPr>
        <w:pStyle w:val="FirstParagraph"/>
      </w:pPr>
      <w:r>
        <w:t xml:space="preserve">RSG closed at</w:t>
      </w:r>
      <w:r>
        <w:t xml:space="preserve"> </w:t>
      </w:r>
      <w:r>
        <w:rPr>
          <w:b/>
          <w:bCs/>
        </w:rPr>
        <w:t xml:space="preserve">$207.06 on August 5</w:t>
      </w:r>
      <w:r>
        <w:t xml:space="preserve">, up roughly</w:t>
      </w:r>
      <w:r>
        <w:t xml:space="preserve"> </w:t>
      </w:r>
      <w:r>
        <w:rPr>
          <w:b/>
          <w:bCs/>
        </w:rPr>
        <w:t xml:space="preserve">2.7%</w:t>
      </w:r>
      <w:r>
        <w:t xml:space="preserve"> </w:t>
      </w:r>
      <w:r>
        <w:t xml:space="preserve">from the May 7 closing price following 1Q earnings, but about</w:t>
      </w:r>
      <w:r>
        <w:t xml:space="preserve"> </w:t>
      </w:r>
      <w:r>
        <w:rPr>
          <w:b/>
          <w:bCs/>
        </w:rPr>
        <w:t xml:space="preserve">7.8% below</w:t>
      </w:r>
      <w:r>
        <w:t xml:space="preserve"> </w:t>
      </w:r>
      <w:r>
        <w:t xml:space="preserve">its July 16 closing high of $224.51. This suggests some recent de-risking into the report rather than an especially extended setup.</w:t>
      </w:r>
    </w:p>
    <w:p>
      <w:pPr>
        <w:pStyle w:val="BodyText"/>
      </w:pPr>
      <w:r>
        <w:t xml:space="preserve">Using the midpoint of RSG’s full-year adjusted EPS guide ($7.24), the stock trades at roughly</w:t>
      </w:r>
      <w:r>
        <w:t xml:space="preserve"> </w:t>
      </w:r>
      <w:r>
        <w:rPr>
          <w:b/>
          <w:bCs/>
        </w:rPr>
        <w:t xml:space="preserve">28.6x</w:t>
      </w:r>
      <w:r>
        <w:t xml:space="preserve"> </w:t>
      </w:r>
      <w:r>
        <w:t xml:space="preserve">2026 adjusted EPS. That premium valuation places a high value on earnings consistency, visible free-cash-flow growth, durable pricing, and credible execution in Environmental Solutions. In other words, “in line” results may be sufficient only if the call reinforces the back-half improvement narrative.</w:t>
      </w:r>
    </w:p>
    <w:p>
      <w:r>
        <w:pict>
          <v:rect style="width:0;height:1.5pt" o:hralign="center" o:hrstd="t" o:hr="t"/>
        </w:pict>
      </w:r>
    </w:p>
    <w:bookmarkEnd w:id="17"/>
    <w:bookmarkStart w:id="20" w:name="Xbe12b490ceb8beb82b9cba00989c00301eb91b5"/>
    <w:p>
      <w:pPr>
        <w:pStyle w:val="Heading2"/>
      </w:pPr>
      <w:r>
        <w:t xml:space="preserve">What would make this a good or bad quarter?</w:t>
      </w:r>
    </w:p>
    <w:bookmarkStart w:id="18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05"/>
        </w:numPr>
      </w:pPr>
      <w:r>
        <w:t xml:space="preserve">Core price and yields remain firmly within the full-year framework.</w:t>
      </w:r>
    </w:p>
    <w:p>
      <w:pPr>
        <w:pStyle w:val="Compact"/>
        <w:numPr>
          <w:ilvl w:val="0"/>
          <w:numId w:val="1005"/>
        </w:numPr>
      </w:pPr>
      <w:r>
        <w:t xml:space="preserve">Underlying Recycling &amp; Waste margins expand despite the known project-volume headwind.</w:t>
      </w:r>
    </w:p>
    <w:p>
      <w:pPr>
        <w:pStyle w:val="Compact"/>
        <w:numPr>
          <w:ilvl w:val="0"/>
          <w:numId w:val="1005"/>
        </w:numPr>
      </w:pPr>
      <w:r>
        <w:t xml:space="preserve">Fuel recovery offsets higher fuel costs as expected.</w:t>
      </w:r>
    </w:p>
    <w:p>
      <w:pPr>
        <w:pStyle w:val="Compact"/>
        <w:numPr>
          <w:ilvl w:val="0"/>
          <w:numId w:val="1005"/>
        </w:numPr>
      </w:pPr>
      <w:r>
        <w:t xml:space="preserve">ES shows sequential improvement, stronger bookings, and credible visibility into second-half growth.</w:t>
      </w:r>
    </w:p>
    <w:p>
      <w:pPr>
        <w:pStyle w:val="Compact"/>
        <w:numPr>
          <w:ilvl w:val="0"/>
          <w:numId w:val="1005"/>
        </w:numPr>
      </w:pPr>
      <w:r>
        <w:t xml:space="preserve">Full-year guidance is reiterated or tightened, especially free cash flow.</w:t>
      </w:r>
    </w:p>
    <w:p>
      <w:pPr>
        <w:pStyle w:val="Compact"/>
        <w:numPr>
          <w:ilvl w:val="0"/>
          <w:numId w:val="1005"/>
        </w:numPr>
      </w:pPr>
      <w:r>
        <w:t xml:space="preserve">M&amp;A exceeds $1 billion without meaningful leverage or integration concerns.</w:t>
      </w:r>
    </w:p>
    <w:bookmarkEnd w:id="18"/>
    <w:bookmarkStart w:id="19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06"/>
        </w:numPr>
      </w:pPr>
      <w:r>
        <w:t xml:space="preserve">Volume weakness broadens beyond known landfill project comparisons and residential contract losses.</w:t>
      </w:r>
    </w:p>
    <w:p>
      <w:pPr>
        <w:pStyle w:val="Compact"/>
        <w:numPr>
          <w:ilvl w:val="0"/>
          <w:numId w:val="1006"/>
        </w:numPr>
      </w:pPr>
      <w:r>
        <w:t xml:space="preserve">Yield decelerates materially, implying weakening pricing power or retention pressure.</w:t>
      </w:r>
    </w:p>
    <w:p>
      <w:pPr>
        <w:pStyle w:val="Compact"/>
        <w:numPr>
          <w:ilvl w:val="0"/>
          <w:numId w:val="1006"/>
        </w:numPr>
      </w:pPr>
      <w:r>
        <w:t xml:space="preserve">ES recovery slips beyond the second half or margins remain stuck near 1Q levels.</w:t>
      </w:r>
    </w:p>
    <w:p>
      <w:pPr>
        <w:pStyle w:val="Compact"/>
        <w:numPr>
          <w:ilvl w:val="0"/>
          <w:numId w:val="1006"/>
        </w:numPr>
      </w:pPr>
      <w:r>
        <w:t xml:space="preserve">Fuel, labor, or maintenance costs overwhelm productivity benefits.</w:t>
      </w:r>
    </w:p>
    <w:p>
      <w:pPr>
        <w:pStyle w:val="Compact"/>
        <w:numPr>
          <w:ilvl w:val="0"/>
          <w:numId w:val="1006"/>
        </w:numPr>
      </w:pPr>
      <w:r>
        <w:t xml:space="preserve">Guidance is cut or management sounds less confident in the expected 4Q volume inflection.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1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RSG’s 2Q26 report is best viewed as a</w:t>
      </w:r>
      <w:r>
        <w:t xml:space="preserve"> </w:t>
      </w:r>
      <w:r>
        <w:rPr>
          <w:b/>
          <w:bCs/>
        </w:rPr>
        <w:t xml:space="preserve">quality-of-execution test</w:t>
      </w:r>
      <w:r>
        <w:t xml:space="preserve">. The company has already told investors to expect a tougher quarterly margin and volume comparison, so the primary focus should be on whether pricing and self-help protect the underlying earnings algorithm, whether Environmental Solutions is genuinely turning, and whether full-year guidance remains intact.</w:t>
      </w:r>
    </w:p>
    <w:p>
      <w:pPr>
        <w:pStyle w:val="BodyText"/>
      </w:pPr>
      <w:r>
        <w:t xml:space="preserve">A solid outcome would be:</w:t>
      </w:r>
      <w:r>
        <w:t xml:space="preserve"> </w:t>
      </w:r>
      <w:r>
        <w:rPr>
          <w:b/>
          <w:bCs/>
        </w:rPr>
        <w:t xml:space="preserve">expected headline margin pressure, but continued core margin expansion, stable pricing, improving commercial/landfill indicators, an ES recovery that is visibly forming, and reaffirmed full-year targets.</w:t>
      </w:r>
      <w:r>
        <w:t xml:space="preserve"> </w:t>
      </w:r>
      <w:r>
        <w:t xml:space="preserve">The risk is that the known 2Q headwinds expose a broader slowdown in volumes or delay the ES recovery, making RSG’s premium valuation more difficult to defend.</w:t>
      </w:r>
    </w:p>
    <w:p>
      <w:pPr>
        <w:pStyle w:val="BodyText"/>
      </w:pPr>
      <w:r>
        <w:rPr>
          <w:i/>
          <w:iCs/>
        </w:rPr>
        <w:t xml:space="preserve">Sources reviewed: Republic Services’ 1Q26 and 2Q25 earnings releases and 1Q26 earnings-call transcript; RSG’s July 28, 2026 dividend 8-K; historical RSG and WM share-price data through August 5, 2026.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2026-08-06T01:12:05Z</dcterms:created>
  <dcterms:modified xsi:type="dcterms:W3CDTF">2026-08-06T01:12:05Z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