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Republic Services, Inc.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Republic Services, Inc.</w:t>
            </w:r>
          </w:p>
        </w:tc>
        <w:tc>
          <w:tcPr>
            <w:tcW w:type="dxa" w:w="2160"/>
          </w:tcPr>
          <w:p>
            <w:r>
              <w:rPr>
                <w:rFonts w:ascii="Calibri" w:hAnsi="Calibri"/>
                <w:b/>
                <w:sz w:val="22"/>
              </w:rPr>
              <w:t>Ticker</w:t>
            </w:r>
          </w:p>
        </w:tc>
        <w:tc>
          <w:tcPr>
            <w:tcW w:type="dxa" w:w="2160"/>
          </w:tcPr>
          <w:p>
            <w:r>
              <w:rPr>
                <w:rFonts w:ascii="Calibri" w:hAnsi="Calibri"/>
                <w:sz w:val="22"/>
              </w:rPr>
              <w:t>RSG</w:t>
            </w:r>
          </w:p>
        </w:tc>
      </w:tr>
      <w:tr>
        <w:tc>
          <w:tcPr>
            <w:tcW w:type="dxa" w:w="2160"/>
          </w:tcPr>
          <w:p>
            <w:r>
              <w:rPr>
                <w:rFonts w:ascii="Calibri" w:hAnsi="Calibri"/>
                <w:b/>
                <w:sz w:val="22"/>
              </w:rPr>
              <w:t>Upcoming Earnings</w:t>
            </w:r>
          </w:p>
        </w:tc>
        <w:tc>
          <w:tcPr>
            <w:tcW w:type="dxa" w:w="2160"/>
          </w:tcPr>
          <w:p>
            <w:r>
              <w:rPr>
                <w:rFonts w:ascii="Calibri" w:hAnsi="Calibri"/>
                <w:sz w:val="22"/>
              </w:rPr>
              <w:t>Q2 2026 (expected early August 2026)</w:t>
            </w:r>
          </w:p>
        </w:tc>
        <w:tc>
          <w:tcPr>
            <w:tcW w:type="dxa" w:w="2160"/>
          </w:tcPr>
          <w:p>
            <w:r>
              <w:rPr>
                <w:rFonts w:ascii="Calibri" w:hAnsi="Calibri"/>
                <w:b/>
                <w:sz w:val="22"/>
              </w:rPr>
              <w:t>Prepared</w:t>
            </w:r>
          </w:p>
        </w:tc>
        <w:tc>
          <w:tcPr>
            <w:tcW w:type="dxa" w:w="2160"/>
          </w:tcPr>
          <w:p>
            <w:r>
              <w:rPr>
                <w:rFonts w:ascii="Calibri" w:hAnsi="Calibri"/>
                <w:sz w:val="22"/>
              </w:rPr>
              <w:t>August 5, 2026</w:t>
            </w:r>
          </w:p>
        </w:tc>
      </w:tr>
      <w:tr>
        <w:tc>
          <w:tcPr>
            <w:tcW w:type="dxa" w:w="2160"/>
          </w:tcPr>
          <w:p>
            <w:r>
              <w:rPr>
                <w:rFonts w:ascii="Calibri" w:hAnsi="Calibri"/>
                <w:b/>
                <w:sz w:val="22"/>
              </w:rPr>
              <w:t>Last Earnings</w:t>
            </w:r>
          </w:p>
        </w:tc>
        <w:tc>
          <w:tcPr>
            <w:tcW w:type="dxa" w:w="2160"/>
          </w:tcPr>
          <w:p>
            <w:r>
              <w:rPr>
                <w:rFonts w:ascii="Calibri" w:hAnsi="Calibri"/>
                <w:sz w:val="22"/>
              </w:rPr>
              <w:t>Q1 2026 — May 7, 2026</w:t>
            </w:r>
          </w:p>
        </w:tc>
        <w:tc>
          <w:tcPr>
            <w:tcW w:type="dxa" w:w="2160"/>
          </w:tcPr>
          <w:p>
            <w:r>
              <w:rPr>
                <w:rFonts w:ascii="Calibri" w:hAnsi="Calibri"/>
                <w:b/>
                <w:sz w:val="22"/>
              </w:rPr>
              <w:t>Sector ETF (Chart)</w:t>
            </w:r>
          </w:p>
        </w:tc>
        <w:tc>
          <w:tcPr>
            <w:tcW w:type="dxa" w:w="2160"/>
          </w:tcPr>
          <w:p>
            <w:r>
              <w:rPr>
                <w:rFonts w:ascii="Calibri" w:hAnsi="Calibri"/>
                <w:sz w:val="22"/>
              </w:rPr>
              <w:t>WM (Waste Management — sector proxy)</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RSG’s Q2 2026 print is modestly constructive — consensus is a manageable bar given known headwinds, but the single biggest swing factor is whether Environmental Solutions revenue and special waste volumes show the sequential momentum management telegraphed for the second half.</w:t>
      </w:r>
    </w:p>
    <w:p>
      <w:r>
        <w:rPr>
          <w:rFonts w:ascii="Calibri" w:hAnsi="Calibri"/>
          <w:color w:val="525866"/>
          <w:sz w:val="22"/>
        </w:rPr>
        <w:t xml:space="preserve">Heading into Q2 2026, Republic Services faces a well-flagged but real revenue headwind: the non-repeat of significant event-driven landfill volumes (hurricane/wildfire cleanup) that boosted the prior-year period, plus continued Environmental Solutions softness in the first half. Management guided explicitly for Q2 EBITDA margins to be “somewhat flat to slightly down” year-over-year and for volumes to remain negative in both Q2 and Q3 before flipping positive in Q4 — so consensus at ~$4.36B revenue and ~$1.39B adjusted EBITDA is calibrated to a known-soft quarter, not a high bar. Estimate revisions since the May 7 print have been essentially flat (revenue up ~$7M, EBITDA down ~$1M), suggesting the Street has already absorbed the guidance and is not positioned for a surprise in either direction. The stock has recovered from its post-Q1 dip and trades near $207, roughly flat to the May 7 close, while WM has outperformed by ~10 points since then — RSG’s relative underperformance creates a modest setup where a clean beat-and-reaffirm could close the gap. The key wildcard is </w:t>
      </w:r>
      <w:r>
        <w:rPr>
          <w:rFonts w:ascii="Calibri" w:hAnsi="Calibri"/>
          <w:b/>
          <w:color w:val="525866"/>
          <w:sz w:val="22"/>
        </w:rPr>
        <w:t>Environmental Solutions momentum</w:t>
      </w:r>
      <w:r>
        <w:rPr>
          <w:rFonts w:ascii="Calibri" w:hAnsi="Calibri"/>
          <w:color w:val="525866"/>
          <w:sz w:val="22"/>
        </w:rPr>
        <w:t>: management said the ES pipeline is building and expects H2 year-over-year revenue growth — any early evidence of that inflection in Q2 commentary, combined with special waste strength seen at peers (WM +4.5% ex-wildfire, CLH record June volumes), could be the positive catalyst the stock needs.</w:t>
      </w:r>
    </w:p>
    <w:p>
      <w:r>
        <w:rPr>
          <w:rFonts w:ascii="Calibri" w:hAnsi="Calibri"/>
          <w:b/>
          <w:color w:val="525866"/>
          <w:sz w:val="22"/>
        </w:rPr>
        <w:t xml:space="preserve">Bar: </w:t>
      </w:r>
      <w:r>
        <w:rPr>
          <w:rFonts w:ascii="Calibri" w:hAnsi="Calibri"/>
          <w:color w:val="525866"/>
          <w:sz w:val="22"/>
        </w:rPr>
        <w:t>Consensus is a low-to-moderate bar. Revenue of ~$4.36B implies ~3% YoY growth against a quarter with known event-driven comp headwinds and ES softness. Adjusted EBITDA margin of ~31.9% is below Q2 2025’s 32.1%, consistent with management’s own guidance for flat-to-slightly-down margins.</w:t>
      </w:r>
    </w:p>
    <w:p>
      <w:r>
        <w:rPr>
          <w:rFonts w:ascii="Calibri" w:hAnsi="Calibri"/>
          <w:b/>
          <w:color w:val="525866"/>
          <w:sz w:val="22"/>
        </w:rPr>
        <w:t xml:space="preserve">Guidance/Tone: </w:t>
      </w:r>
      <w:r>
        <w:rPr>
          <w:rFonts w:ascii="Calibri" w:hAnsi="Calibri"/>
          <w:color w:val="525866"/>
          <w:sz w:val="22"/>
        </w:rPr>
        <w:t>Management’s posture on Q1’s call was cautiously optimistic — full-year guidance reaffirmed, “green shoots” cited in special waste and large container, and ES expected to inflect to YoY growth in H2. Tone was more confident than Q4 2025 on underlying volume trends.</w:t>
      </w:r>
    </w:p>
    <w:p>
      <w:r>
        <w:rPr>
          <w:rFonts w:ascii="Calibri" w:hAnsi="Calibri"/>
          <w:b/>
          <w:color w:val="525866"/>
          <w:sz w:val="22"/>
        </w:rPr>
        <w:t xml:space="preserve">Estimate Trajectory: </w:t>
      </w:r>
      <w:r>
        <w:rPr>
          <w:rFonts w:ascii="Calibri" w:hAnsi="Calibri"/>
          <w:color w:val="525866"/>
          <w:sz w:val="22"/>
        </w:rPr>
        <w:t>Revisions since Q1 earnings are essentially flat across all KPIs — revenue, EBITDA, and EPS have moved less than 1% in either direction. This is consistent with guidance being reaffirmed and no material post-earnings events. The lack of upward revision despite “green shoots” commentary suggests the Street is waiting for proof before moving numbers.</w:t>
      </w:r>
    </w:p>
    <w:p>
      <w:r>
        <w:rPr>
          <w:rFonts w:ascii="Calibri" w:hAnsi="Calibri"/>
          <w:b/>
          <w:color w:val="525866"/>
          <w:sz w:val="22"/>
        </w:rPr>
        <w:t xml:space="preserve">Stock Setup: </w:t>
      </w:r>
      <w:r>
        <w:rPr>
          <w:rFonts w:ascii="Calibri" w:hAnsi="Calibri"/>
          <w:color w:val="525866"/>
          <w:sz w:val="22"/>
        </w:rPr>
        <w:t>RSG trades at ~$207, roughly flat since Q1 earnings while WM has rallied ~10%. The stock has underperformed its primary peer since the print, suggesting the market is not pricing in a beat. At current levels, the stock is not expensive relative to its own history but is not cheap either given the near-term growth deceleration.</w:t>
      </w:r>
    </w:p>
    <w:p>
      <w:r>
        <w:rPr>
          <w:rFonts w:ascii="Calibri" w:hAnsi="Calibri"/>
          <w:b/>
          <w:color w:val="525866"/>
          <w:sz w:val="22"/>
        </w:rPr>
        <w:t xml:space="preserve">Wildcard: </w:t>
      </w:r>
      <w:r>
        <w:rPr>
          <w:rFonts w:ascii="Calibri" w:hAnsi="Calibri"/>
          <w:color w:val="525866"/>
          <w:sz w:val="22"/>
        </w:rPr>
        <w:t>Environmental Solutions revenue trajectory and special waste volumes. Peers (WM, CLH) reported strong hazardous/special waste demand in Q2, and CLH had a record June for volumes. If RSG’s ES business shows earlier-than-expected inflection and special waste continues the 9.9% YoY growth seen in Q1, the revenue line could surprise to the upside and management could signal more confidence in the H2 ramp.</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for Q2 2026 — revenue and EBITDA estimates are calibrated to management’s own guidance for a soft quarter. </w:t>
      </w:r>
      <w:r>
        <w:rPr>
          <w:rFonts w:ascii="Calibri" w:hAnsi="Calibri"/>
          <w:b/>
          <w:color w:val="525866"/>
          <w:sz w:val="22"/>
        </w:rPr>
        <w:t>Adjusted EBITDA margin is the bigger swing factor</w:t>
      </w:r>
      <w:r>
        <w:rPr>
          <w:rFonts w:ascii="Calibri" w:hAnsi="Calibri"/>
          <w:color w:val="525866"/>
          <w:sz w:val="22"/>
        </w:rPr>
        <w:t>: any outperformance vs. the “flat-to-slightly-down” guide would be a positive signal, while Environmental Solutions revenue is the key revenue wildcard.</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($B)</w:t>
            </w:r>
          </w:p>
        </w:tc>
        <w:tc>
          <w:tcPr>
            <w:tcW w:type="dxa" w:w="1234"/>
          </w:tcPr>
          <w:p>
            <w:r>
              <w:rPr>
                <w:rFonts w:ascii="Calibri" w:hAnsi="Calibri"/>
                <w:sz w:val="22"/>
              </w:rPr>
              <w:t>$4.113B</w:t>
            </w:r>
          </w:p>
        </w:tc>
        <w:tc>
          <w:tcPr>
            <w:tcW w:type="dxa" w:w="1234"/>
          </w:tcPr>
          <w:p>
            <w:r>
              <w:rPr>
                <w:rFonts w:ascii="Calibri" w:hAnsi="Calibri"/>
                <w:sz w:val="22"/>
              </w:rPr>
              <w:t>$4.235B</w:t>
            </w:r>
          </w:p>
        </w:tc>
        <w:tc>
          <w:tcPr>
            <w:tcW w:type="dxa" w:w="1234"/>
          </w:tcPr>
          <w:p>
            <w:r>
              <w:rPr>
                <w:rFonts w:ascii="Calibri" w:hAnsi="Calibri"/>
                <w:sz w:val="22"/>
              </w:rPr>
              <w:t>$4.363B</w:t>
            </w:r>
          </w:p>
        </w:tc>
        <w:tc>
          <w:tcPr>
            <w:tcW w:type="dxa" w:w="1234"/>
          </w:tcPr>
          <w:p>
            <w:r>
              <w:rPr>
                <w:rFonts w:ascii="Calibri" w:hAnsi="Calibri"/>
                <w:sz w:val="22"/>
              </w:rPr>
              <w:t>+3.0%</w:t>
            </w:r>
          </w:p>
        </w:tc>
        <w:tc>
          <w:tcPr>
            <w:tcW w:type="dxa" w:w="1234"/>
          </w:tcPr>
          <w:p>
            <w:r>
              <w:rPr>
                <w:rFonts w:ascii="Calibri" w:hAnsi="Calibri"/>
                <w:sz w:val="22"/>
              </w:rPr>
              <w:t>$16.80–$17.15B (FY)</w:t>
            </w:r>
          </w:p>
        </w:tc>
        <w:tc>
          <w:tcPr>
            <w:tcW w:type="dxa" w:w="1234"/>
          </w:tcPr>
          <w:p>
            <w:r>
              <w:rPr>
                <w:rFonts w:ascii="Calibri" w:hAnsi="Calibri"/>
                <w:sz w:val="22"/>
              </w:rPr>
              <w:t>Within range</w:t>
            </w:r>
          </w:p>
        </w:tc>
      </w:tr>
      <w:tr>
        <w:tc>
          <w:tcPr>
            <w:tcW w:type="dxa" w:w="1234"/>
          </w:tcPr>
          <w:p>
            <w:r>
              <w:rPr>
                <w:rFonts w:ascii="Calibri" w:hAnsi="Calibri"/>
                <w:sz w:val="22"/>
              </w:rPr>
              <w:t>Adj. EBITDA ($B)</w:t>
            </w:r>
          </w:p>
        </w:tc>
        <w:tc>
          <w:tcPr>
            <w:tcW w:type="dxa" w:w="1234"/>
          </w:tcPr>
          <w:p>
            <w:r>
              <w:rPr>
                <w:rFonts w:ascii="Calibri" w:hAnsi="Calibri"/>
                <w:sz w:val="22"/>
              </w:rPr>
              <w:t>$1.322B</w:t>
            </w:r>
          </w:p>
        </w:tc>
        <w:tc>
          <w:tcPr>
            <w:tcW w:type="dxa" w:w="1234"/>
          </w:tcPr>
          <w:p>
            <w:r>
              <w:rPr>
                <w:rFonts w:ascii="Calibri" w:hAnsi="Calibri"/>
                <w:sz w:val="22"/>
              </w:rPr>
              <w:t>$1.361B</w:t>
            </w:r>
          </w:p>
        </w:tc>
        <w:tc>
          <w:tcPr>
            <w:tcW w:type="dxa" w:w="1234"/>
          </w:tcPr>
          <w:p>
            <w:r>
              <w:rPr>
                <w:rFonts w:ascii="Calibri" w:hAnsi="Calibri"/>
                <w:sz w:val="22"/>
              </w:rPr>
              <w:t>$1.391B</w:t>
            </w:r>
          </w:p>
        </w:tc>
        <w:tc>
          <w:tcPr>
            <w:tcW w:type="dxa" w:w="1234"/>
          </w:tcPr>
          <w:p>
            <w:r>
              <w:rPr>
                <w:rFonts w:ascii="Calibri" w:hAnsi="Calibri"/>
                <w:sz w:val="22"/>
              </w:rPr>
              <w:t>+2.2%</w:t>
            </w:r>
          </w:p>
        </w:tc>
        <w:tc>
          <w:tcPr>
            <w:tcW w:type="dxa" w:w="1234"/>
          </w:tcPr>
          <w:p>
            <w:r>
              <w:rPr>
                <w:rFonts w:ascii="Calibri" w:hAnsi="Calibri"/>
                <w:sz w:val="22"/>
              </w:rPr>
              <w:t>Flat to slightly down YoY margin</w:t>
            </w:r>
          </w:p>
        </w:tc>
        <w:tc>
          <w:tcPr>
            <w:tcW w:type="dxa" w:w="1234"/>
          </w:tcPr>
          <w:p>
            <w:r>
              <w:rPr>
                <w:rFonts w:ascii="Calibri" w:hAnsi="Calibri"/>
                <w:sz w:val="22"/>
              </w:rPr>
              <w:t>Consistent</w:t>
            </w:r>
          </w:p>
        </w:tc>
      </w:tr>
      <w:tr>
        <w:tc>
          <w:tcPr>
            <w:tcW w:type="dxa" w:w="1234"/>
          </w:tcPr>
          <w:p>
            <w:r>
              <w:rPr>
                <w:rFonts w:ascii="Calibri" w:hAnsi="Calibri"/>
                <w:sz w:val="22"/>
              </w:rPr>
              <w:t>Adj. EBITDA Margin (%)</w:t>
            </w:r>
          </w:p>
        </w:tc>
        <w:tc>
          <w:tcPr>
            <w:tcW w:type="dxa" w:w="1234"/>
          </w:tcPr>
          <w:p>
            <w:r>
              <w:rPr>
                <w:rFonts w:ascii="Calibri" w:hAnsi="Calibri"/>
                <w:sz w:val="22"/>
              </w:rPr>
              <w:t>32.1%</w:t>
            </w:r>
          </w:p>
        </w:tc>
        <w:tc>
          <w:tcPr>
            <w:tcW w:type="dxa" w:w="1234"/>
          </w:tcPr>
          <w:p>
            <w:r>
              <w:rPr>
                <w:rFonts w:ascii="Calibri" w:hAnsi="Calibri"/>
                <w:sz w:val="22"/>
              </w:rPr>
              <w:t>32.1%</w:t>
            </w:r>
          </w:p>
        </w:tc>
        <w:tc>
          <w:tcPr>
            <w:tcW w:type="dxa" w:w="1234"/>
          </w:tcPr>
          <w:p>
            <w:r>
              <w:rPr>
                <w:rFonts w:ascii="Calibri" w:hAnsi="Calibri"/>
                <w:sz w:val="22"/>
              </w:rPr>
              <w:t>31.9%</w:t>
            </w:r>
          </w:p>
        </w:tc>
        <w:tc>
          <w:tcPr>
            <w:tcW w:type="dxa" w:w="1234"/>
          </w:tcPr>
          <w:p>
            <w:r>
              <w:rPr>
                <w:rFonts w:ascii="Calibri" w:hAnsi="Calibri"/>
                <w:sz w:val="22"/>
              </w:rPr>
              <w:t>-20 bps</w:t>
            </w:r>
          </w:p>
        </w:tc>
        <w:tc>
          <w:tcPr>
            <w:tcW w:type="dxa" w:w="1234"/>
          </w:tcPr>
          <w:p>
            <w:r>
              <w:rPr>
                <w:rFonts w:ascii="Calibri" w:hAnsi="Calibri"/>
                <w:sz w:val="22"/>
              </w:rPr>
              <w:t>Flat to slightly down</w:t>
            </w:r>
          </w:p>
        </w:tc>
        <w:tc>
          <w:tcPr>
            <w:tcW w:type="dxa" w:w="1234"/>
          </w:tcPr>
          <w:p>
            <w:r>
              <w:rPr>
                <w:rFonts w:ascii="Calibri" w:hAnsi="Calibri"/>
                <w:sz w:val="22"/>
              </w:rPr>
              <w:t>Consistent</w:t>
            </w:r>
          </w:p>
        </w:tc>
      </w:tr>
      <w:tr>
        <w:tc>
          <w:tcPr>
            <w:tcW w:type="dxa" w:w="1234"/>
          </w:tcPr>
          <w:p>
            <w:r>
              <w:rPr>
                <w:rFonts w:ascii="Calibri" w:hAnsi="Calibri"/>
                <w:sz w:val="22"/>
              </w:rPr>
              <w:t>Adj. EPS - Diluted ($)</w:t>
            </w:r>
          </w:p>
        </w:tc>
        <w:tc>
          <w:tcPr>
            <w:tcW w:type="dxa" w:w="1234"/>
          </w:tcPr>
          <w:p>
            <w:r>
              <w:rPr>
                <w:rFonts w:ascii="Calibri" w:hAnsi="Calibri"/>
                <w:sz w:val="22"/>
              </w:rPr>
              <w:t>$1.70</w:t>
            </w:r>
          </w:p>
        </w:tc>
        <w:tc>
          <w:tcPr>
            <w:tcW w:type="dxa" w:w="1234"/>
          </w:tcPr>
          <w:p>
            <w:r>
              <w:rPr>
                <w:rFonts w:ascii="Calibri" w:hAnsi="Calibri"/>
                <w:sz w:val="22"/>
              </w:rPr>
              <w:t>$1.77</w:t>
            </w:r>
          </w:p>
        </w:tc>
        <w:tc>
          <w:tcPr>
            <w:tcW w:type="dxa" w:w="1234"/>
          </w:tcPr>
          <w:p>
            <w:r>
              <w:rPr>
                <w:rFonts w:ascii="Calibri" w:hAnsi="Calibri"/>
                <w:sz w:val="22"/>
              </w:rPr>
              <w:t>$1.82</w:t>
            </w:r>
          </w:p>
        </w:tc>
        <w:tc>
          <w:tcPr>
            <w:tcW w:type="dxa" w:w="1234"/>
          </w:tcPr>
          <w:p>
            <w:r>
              <w:rPr>
                <w:rFonts w:ascii="Calibri" w:hAnsi="Calibri"/>
                <w:sz w:val="22"/>
              </w:rPr>
              <w:t>+2.8%</w:t>
            </w:r>
          </w:p>
        </w:tc>
        <w:tc>
          <w:tcPr>
            <w:tcW w:type="dxa" w:w="1234"/>
          </w:tcPr>
          <w:p>
            <w:r>
              <w:rPr>
                <w:rFonts w:ascii="Calibri" w:hAnsi="Calibri"/>
                <w:sz w:val="22"/>
              </w:rPr>
              <w:t>$6.97–$7.28 (FY)</w:t>
            </w:r>
          </w:p>
        </w:tc>
        <w:tc>
          <w:tcPr>
            <w:tcW w:type="dxa" w:w="1234"/>
          </w:tcPr>
          <w:p>
            <w:r>
              <w:rPr>
                <w:rFonts w:ascii="Calibri" w:hAnsi="Calibri"/>
                <w:sz w:val="22"/>
              </w:rPr>
              <w:t>Within range</w:t>
            </w:r>
          </w:p>
        </w:tc>
      </w:tr>
      <w:tr>
        <w:tc>
          <w:tcPr>
            <w:tcW w:type="dxa" w:w="1234"/>
          </w:tcPr>
          <w:p>
            <w:r>
              <w:rPr>
                <w:rFonts w:ascii="Calibri" w:hAnsi="Calibri"/>
                <w:sz w:val="22"/>
              </w:rPr>
              <w:t>Average Yield (%)</w:t>
            </w:r>
          </w:p>
        </w:tc>
        <w:tc>
          <w:tcPr>
            <w:tcW w:type="dxa" w:w="1234"/>
          </w:tcPr>
          <w:p>
            <w:r>
              <w:rPr>
                <w:rFonts w:ascii="Calibri" w:hAnsi="Calibri"/>
                <w:sz w:val="22"/>
              </w:rPr>
              <w:t>3.4%</w:t>
            </w:r>
          </w:p>
        </w:tc>
        <w:tc>
          <w:tcPr>
            <w:tcW w:type="dxa" w:w="1234"/>
          </w:tcPr>
          <w:p>
            <w:r>
              <w:rPr>
                <w:rFonts w:ascii="Calibri" w:hAnsi="Calibri"/>
                <w:sz w:val="22"/>
              </w:rPr>
              <w:t>4.1%</w:t>
            </w:r>
          </w:p>
        </w:tc>
        <w:tc>
          <w:tcPr>
            <w:tcW w:type="dxa" w:w="1234"/>
          </w:tcPr>
          <w:p>
            <w:r>
              <w:rPr>
                <w:rFonts w:ascii="Calibri" w:hAnsi="Calibri"/>
                <w:sz w:val="22"/>
              </w:rPr>
              <w:t>3.4%</w:t>
            </w:r>
          </w:p>
        </w:tc>
        <w:tc>
          <w:tcPr>
            <w:tcW w:type="dxa" w:w="1234"/>
          </w:tcPr>
          <w:p>
            <w:r>
              <w:rPr>
                <w:rFonts w:ascii="Calibri" w:hAnsi="Calibri"/>
                <w:sz w:val="22"/>
              </w:rPr>
              <w:t>-70 bps</w:t>
            </w:r>
          </w:p>
        </w:tc>
        <w:tc>
          <w:tcPr>
            <w:tcW w:type="dxa" w:w="1234"/>
          </w:tcPr>
          <w:p>
            <w:r>
              <w:rPr>
                <w:rFonts w:ascii="Calibri" w:hAnsi="Calibri"/>
                <w:sz w:val="22"/>
              </w:rPr>
              <w:t>N/A (no Q-specific guide)</w:t>
            </w:r>
          </w:p>
        </w:tc>
        <w:tc>
          <w:tcPr>
            <w:tcW w:type="dxa" w:w="1234"/>
          </w:tcPr>
          <w:p>
            <w:r>
              <w:rPr>
                <w:rFonts w:ascii="Calibri" w:hAnsi="Calibri"/>
                <w:sz w:val="22"/>
              </w:rPr>
              <w:t>N/A</w:t>
            </w:r>
          </w:p>
        </w:tc>
      </w:tr>
      <w:tr>
        <w:tc>
          <w:tcPr>
            <w:tcW w:type="dxa" w:w="1234"/>
          </w:tcPr>
          <w:p>
            <w:r>
              <w:rPr>
                <w:rFonts w:ascii="Calibri" w:hAnsi="Calibri"/>
                <w:sz w:val="22"/>
              </w:rPr>
              <w:t>Core Price (%)</w:t>
            </w:r>
          </w:p>
        </w:tc>
        <w:tc>
          <w:tcPr>
            <w:tcW w:type="dxa" w:w="1234"/>
          </w:tcPr>
          <w:p>
            <w:r>
              <w:rPr>
                <w:rFonts w:ascii="Calibri" w:hAnsi="Calibri"/>
                <w:sz w:val="22"/>
              </w:rPr>
              <w:t>5.7%</w:t>
            </w:r>
          </w:p>
        </w:tc>
        <w:tc>
          <w:tcPr>
            <w:tcW w:type="dxa" w:w="1234"/>
          </w:tcPr>
          <w:p>
            <w:r>
              <w:rPr>
                <w:rFonts w:ascii="Calibri" w:hAnsi="Calibri"/>
                <w:sz w:val="22"/>
              </w:rPr>
              <w:t>5.7%</w:t>
            </w:r>
          </w:p>
        </w:tc>
        <w:tc>
          <w:tcPr>
            <w:tcW w:type="dxa" w:w="1234"/>
          </w:tcPr>
          <w:p>
            <w:r>
              <w:rPr>
                <w:rFonts w:ascii="Calibri" w:hAnsi="Calibri"/>
                <w:sz w:val="22"/>
              </w:rPr>
              <w:t>5.3%</w:t>
            </w:r>
          </w:p>
        </w:tc>
        <w:tc>
          <w:tcPr>
            <w:tcW w:type="dxa" w:w="1234"/>
          </w:tcPr>
          <w:p>
            <w:r>
              <w:rPr>
                <w:rFonts w:ascii="Calibri" w:hAnsi="Calibri"/>
                <w:sz w:val="22"/>
              </w:rPr>
              <w:t>-40 bps</w:t>
            </w:r>
          </w:p>
        </w:tc>
        <w:tc>
          <w:tcPr>
            <w:tcW w:type="dxa" w:w="1234"/>
          </w:tcPr>
          <w:p>
            <w:r>
              <w:rPr>
                <w:rFonts w:ascii="Calibri" w:hAnsi="Calibri"/>
                <w:sz w:val="22"/>
              </w:rPr>
              <w:t>N/A (no Q-specific guide)</w:t>
            </w:r>
          </w:p>
        </w:tc>
        <w:tc>
          <w:tcPr>
            <w:tcW w:type="dxa" w:w="1234"/>
          </w:tcPr>
          <w:p>
            <w:r>
              <w:rPr>
                <w:rFonts w:ascii="Calibri" w:hAnsi="Calibri"/>
                <w:sz w:val="22"/>
              </w:rPr>
              <w:t>N/A</w:t>
            </w:r>
          </w:p>
        </w:tc>
      </w:tr>
      <w:tr>
        <w:tc>
          <w:tcPr>
            <w:tcW w:type="dxa" w:w="1234"/>
          </w:tcPr>
          <w:p>
            <w:r>
              <w:rPr>
                <w:rFonts w:ascii="Calibri" w:hAnsi="Calibri"/>
                <w:sz w:val="22"/>
              </w:rPr>
              <w:t>Volume (%)</w:t>
            </w:r>
          </w:p>
        </w:tc>
        <w:tc>
          <w:tcPr>
            <w:tcW w:type="dxa" w:w="1234"/>
          </w:tcPr>
          <w:p>
            <w:r>
              <w:rPr>
                <w:rFonts w:ascii="Calibri" w:hAnsi="Calibri"/>
                <w:sz w:val="22"/>
              </w:rPr>
              <w:t>-0.8%</w:t>
            </w:r>
          </w:p>
        </w:tc>
        <w:tc>
          <w:tcPr>
            <w:tcW w:type="dxa" w:w="1234"/>
          </w:tcPr>
          <w:p>
            <w:r>
              <w:rPr>
                <w:rFonts w:ascii="Calibri" w:hAnsi="Calibri"/>
                <w:sz w:val="22"/>
              </w:rPr>
              <w:t>+0.2%</w:t>
            </w:r>
          </w:p>
        </w:tc>
        <w:tc>
          <w:tcPr>
            <w:tcW w:type="dxa" w:w="1234"/>
          </w:tcPr>
          <w:p>
            <w:r>
              <w:rPr>
                <w:rFonts w:ascii="Calibri" w:hAnsi="Calibri"/>
                <w:sz w:val="22"/>
              </w:rPr>
              <w:t>-1.6%</w:t>
            </w:r>
          </w:p>
        </w:tc>
        <w:tc>
          <w:tcPr>
            <w:tcW w:type="dxa" w:w="1234"/>
          </w:tcPr>
          <w:p>
            <w:r>
              <w:rPr>
                <w:rFonts w:ascii="Calibri" w:hAnsi="Calibri"/>
                <w:sz w:val="22"/>
              </w:rPr>
              <w:t>-180 bps</w:t>
            </w:r>
          </w:p>
        </w:tc>
        <w:tc>
          <w:tcPr>
            <w:tcW w:type="dxa" w:w="1234"/>
          </w:tcPr>
          <w:p>
            <w:r>
              <w:rPr>
                <w:rFonts w:ascii="Calibri" w:hAnsi="Calibri"/>
                <w:sz w:val="22"/>
              </w:rPr>
              <w:t>Negative in Q2 &amp; Q3</w:t>
            </w:r>
          </w:p>
        </w:tc>
        <w:tc>
          <w:tcPr>
            <w:tcW w:type="dxa" w:w="1234"/>
          </w:tcPr>
          <w:p>
            <w:r>
              <w:rPr>
                <w:rFonts w:ascii="Calibri" w:hAnsi="Calibri"/>
                <w:sz w:val="22"/>
              </w:rPr>
              <w:t>Consistent</w:t>
            </w:r>
          </w:p>
        </w:tc>
      </w:tr>
      <w:tr>
        <w:tc>
          <w:tcPr>
            <w:tcW w:type="dxa" w:w="1234"/>
          </w:tcPr>
          <w:p>
            <w:r>
              <w:rPr>
                <w:rFonts w:ascii="Calibri" w:hAnsi="Calibri"/>
                <w:sz w:val="22"/>
              </w:rPr>
              <w:t>ES Revenue ($M)</w:t>
            </w:r>
          </w:p>
        </w:tc>
        <w:tc>
          <w:tcPr>
            <w:tcW w:type="dxa" w:w="1234"/>
          </w:tcPr>
          <w:p>
            <w:r>
              <w:rPr>
                <w:rFonts w:ascii="Calibri" w:hAnsi="Calibri"/>
                <w:sz w:val="22"/>
              </w:rPr>
              <w:t>$405M</w:t>
            </w:r>
          </w:p>
        </w:tc>
        <w:tc>
          <w:tcPr>
            <w:tcW w:type="dxa" w:w="1234"/>
          </w:tcPr>
          <w:p>
            <w:r>
              <w:rPr>
                <w:rFonts w:ascii="Calibri" w:hAnsi="Calibri"/>
                <w:sz w:val="22"/>
              </w:rPr>
              <w:t>$462M</w:t>
            </w:r>
          </w:p>
        </w:tc>
        <w:tc>
          <w:tcPr>
            <w:tcW w:type="dxa" w:w="1234"/>
          </w:tcPr>
          <w:p>
            <w:r>
              <w:rPr>
                <w:rFonts w:ascii="Calibri" w:hAnsi="Calibri"/>
                <w:sz w:val="22"/>
              </w:rPr>
              <w:t>$446M</w:t>
            </w:r>
          </w:p>
        </w:tc>
        <w:tc>
          <w:tcPr>
            <w:tcW w:type="dxa" w:w="1234"/>
          </w:tcPr>
          <w:p>
            <w:r>
              <w:rPr>
                <w:rFonts w:ascii="Calibri" w:hAnsi="Calibri"/>
                <w:sz w:val="22"/>
              </w:rPr>
              <w:t>-3.5%</w:t>
            </w:r>
          </w:p>
        </w:tc>
        <w:tc>
          <w:tcPr>
            <w:tcW w:type="dxa" w:w="1234"/>
          </w:tcPr>
          <w:p>
            <w:r>
              <w:rPr>
                <w:rFonts w:ascii="Calibri" w:hAnsi="Calibri"/>
                <w:sz w:val="22"/>
              </w:rPr>
              <w:t>YoY growth in H2 2026</w:t>
            </w:r>
          </w:p>
        </w:tc>
        <w:tc>
          <w:tcPr>
            <w:tcW w:type="dxa" w:w="1234"/>
          </w:tcPr>
          <w:p>
            <w:r>
              <w:rPr>
                <w:rFonts w:ascii="Calibri" w:hAnsi="Calibri"/>
                <w:sz w:val="22"/>
              </w:rPr>
              <w:t>H1 still declining</w:t>
            </w:r>
          </w:p>
        </w:tc>
      </w:tr>
      <w:tr>
        <w:tc>
          <w:tcPr>
            <w:tcW w:type="dxa" w:w="1234"/>
          </w:tcPr>
          <w:p>
            <w:r>
              <w:rPr>
                <w:rFonts w:ascii="Calibri" w:hAnsi="Calibri"/>
                <w:sz w:val="22"/>
              </w:rPr>
              <w:t>Adj. Free Cash Flow ($M)</w:t>
            </w:r>
          </w:p>
        </w:tc>
        <w:tc>
          <w:tcPr>
            <w:tcW w:type="dxa" w:w="1234"/>
          </w:tcPr>
          <w:p>
            <w:r>
              <w:rPr>
                <w:rFonts w:ascii="Calibri" w:hAnsi="Calibri"/>
                <w:sz w:val="22"/>
              </w:rPr>
              <w:t>$984M</w:t>
            </w:r>
          </w:p>
        </w:tc>
        <w:tc>
          <w:tcPr>
            <w:tcW w:type="dxa" w:w="1234"/>
          </w:tcPr>
          <w:p>
            <w:r>
              <w:rPr>
                <w:rFonts w:ascii="Calibri" w:hAnsi="Calibri"/>
                <w:sz w:val="22"/>
              </w:rPr>
              <w:t>$693M</w:t>
            </w:r>
          </w:p>
        </w:tc>
        <w:tc>
          <w:tcPr>
            <w:tcW w:type="dxa" w:w="1234"/>
          </w:tcPr>
          <w:p>
            <w:r>
              <w:rPr>
                <w:rFonts w:ascii="Calibri" w:hAnsi="Calibri"/>
                <w:sz w:val="22"/>
              </w:rPr>
              <w:t>$628M</w:t>
            </w:r>
          </w:p>
        </w:tc>
        <w:tc>
          <w:tcPr>
            <w:tcW w:type="dxa" w:w="1234"/>
          </w:tcPr>
          <w:p>
            <w:r>
              <w:rPr>
                <w:rFonts w:ascii="Calibri" w:hAnsi="Calibri"/>
                <w:sz w:val="22"/>
              </w:rPr>
              <w:t>-9.4%</w:t>
            </w:r>
          </w:p>
        </w:tc>
        <w:tc>
          <w:tcPr>
            <w:tcW w:type="dxa" w:w="1234"/>
          </w:tcPr>
          <w:p>
            <w:r>
              <w:rPr>
                <w:rFonts w:ascii="Calibri" w:hAnsi="Calibri"/>
                <w:sz w:val="22"/>
              </w:rPr>
              <w:t>$2.55–$2.65B (FY)</w:t>
            </w:r>
          </w:p>
        </w:tc>
        <w:tc>
          <w:tcPr>
            <w:tcW w:type="dxa" w:w="1234"/>
          </w:tcPr>
          <w:p>
            <w:r>
              <w:rPr>
                <w:rFonts w:ascii="Calibri" w:hAnsi="Calibri"/>
                <w:sz w:val="22"/>
              </w:rPr>
              <w:t>Within range</w:t>
            </w:r>
          </w:p>
        </w:tc>
      </w:tr>
    </w:tbl>
    <w:p>
      <w:r>
        <w:rPr>
          <w:rFonts w:ascii="Calibri" w:hAnsi="Calibri"/>
          <w:i/>
          <w:color w:val="525866"/>
          <w:sz w:val="22"/>
        </w:rPr>
        <w:t>Source: Visible Alpha Consensus and Actuals Data. Q1 2026 actual adj. EBITDA margin of 32.1% per RSG Q1 2026 earnings call. FY guidance per Q4 2025 earnings call (Feb 17, 2026) and reaffirmed on Q1 2026 call (May 7, 2026). Q2 2026 margin guidance (“somewhat flat to slightly down”) per Q1 2026 earnings call.</w:t>
      </w:r>
    </w:p>
    <w:p>
      <w:pPr>
        <w:pStyle w:val="Heading2"/>
      </w:pPr>
      <w:r>
        <w:rPr>
          <w:rFonts w:ascii="Calibri" w:hAnsi="Calibri"/>
          <w:b/>
          <w:color w:val="3B4259"/>
          <w:sz w:val="28"/>
        </w:rPr>
        <w:t>Table 2 — Beat/Miss History (Last 8 Quarters — Top 2 KPIs: Revenue &amp; Adj.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$4.048B</w:t>
            </w:r>
          </w:p>
        </w:tc>
        <w:tc>
          <w:tcPr>
            <w:tcW w:type="dxa" w:w="1440"/>
          </w:tcPr>
          <w:p>
            <w:r>
              <w:rPr>
                <w:rFonts w:ascii="Calibri" w:hAnsi="Calibri"/>
                <w:sz w:val="22"/>
              </w:rPr>
              <w:t>$4.032B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$1.258B</w:t>
            </w:r>
          </w:p>
        </w:tc>
        <w:tc>
          <w:tcPr>
            <w:tcW w:type="dxa" w:w="1440"/>
          </w:tcPr>
          <w:p>
            <w:r>
              <w:rPr>
                <w:rFonts w:ascii="Calibri" w:hAnsi="Calibri"/>
                <w:sz w:val="22"/>
              </w:rPr>
              <w:t>$1.227B</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$4.076B</w:t>
            </w:r>
          </w:p>
        </w:tc>
        <w:tc>
          <w:tcPr>
            <w:tcW w:type="dxa" w:w="1440"/>
          </w:tcPr>
          <w:p>
            <w:r>
              <w:rPr>
                <w:rFonts w:ascii="Calibri" w:hAnsi="Calibri"/>
                <w:sz w:val="22"/>
              </w:rPr>
              <w:t>$4.122B</w:t>
            </w:r>
          </w:p>
        </w:tc>
        <w:tc>
          <w:tcPr>
            <w:tcW w:type="dxa" w:w="1440"/>
          </w:tcPr>
          <w:p>
            <w:r>
              <w:rPr>
                <w:rFonts w:ascii="Calibri" w:hAnsi="Calibri"/>
                <w:sz w:val="22"/>
              </w:rPr>
              <w:t>-1.1%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$1.303B</w:t>
            </w:r>
          </w:p>
        </w:tc>
        <w:tc>
          <w:tcPr>
            <w:tcW w:type="dxa" w:w="1440"/>
          </w:tcPr>
          <w:p>
            <w:r>
              <w:rPr>
                <w:rFonts w:ascii="Calibri" w:hAnsi="Calibri"/>
                <w:sz w:val="22"/>
              </w:rPr>
              <w:t>$1.268B</w:t>
            </w:r>
          </w:p>
        </w:tc>
        <w:tc>
          <w:tcPr>
            <w:tcW w:type="dxa" w:w="1440"/>
          </w:tcPr>
          <w:p>
            <w:r>
              <w:rPr>
                <w:rFonts w:ascii="Calibri" w:hAnsi="Calibri"/>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$4.046B</w:t>
            </w:r>
          </w:p>
        </w:tc>
        <w:tc>
          <w:tcPr>
            <w:tcW w:type="dxa" w:w="1440"/>
          </w:tcPr>
          <w:p>
            <w:r>
              <w:rPr>
                <w:rFonts w:ascii="Calibri" w:hAnsi="Calibri"/>
                <w:sz w:val="22"/>
              </w:rPr>
              <w:t>$4.073B</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$1.253B</w:t>
            </w:r>
          </w:p>
        </w:tc>
        <w:tc>
          <w:tcPr>
            <w:tcW w:type="dxa" w:w="1440"/>
          </w:tcPr>
          <w:p>
            <w:r>
              <w:rPr>
                <w:rFonts w:ascii="Calibri" w:hAnsi="Calibri"/>
                <w:sz w:val="22"/>
              </w:rPr>
              <w:t>$1.211B</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$4.009B</w:t>
            </w:r>
          </w:p>
        </w:tc>
        <w:tc>
          <w:tcPr>
            <w:tcW w:type="dxa" w:w="1440"/>
          </w:tcPr>
          <w:p>
            <w:r>
              <w:rPr>
                <w:rFonts w:ascii="Calibri" w:hAnsi="Calibri"/>
                <w:sz w:val="22"/>
              </w:rPr>
              <w:t>$4.047B</w:t>
            </w:r>
          </w:p>
        </w:tc>
        <w:tc>
          <w:tcPr>
            <w:tcW w:type="dxa" w:w="1440"/>
          </w:tcPr>
          <w:p>
            <w:r>
              <w:rPr>
                <w:rFonts w:ascii="Calibri" w:hAnsi="Calibri"/>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$1.268B</w:t>
            </w:r>
          </w:p>
        </w:tc>
        <w:tc>
          <w:tcPr>
            <w:tcW w:type="dxa" w:w="1440"/>
          </w:tcPr>
          <w:p>
            <w:r>
              <w:rPr>
                <w:rFonts w:ascii="Calibri" w:hAnsi="Calibri"/>
                <w:sz w:val="22"/>
              </w:rPr>
              <w:t>$1.240B</w:t>
            </w:r>
          </w:p>
        </w:tc>
        <w:tc>
          <w:tcPr>
            <w:tcW w:type="dxa" w:w="1440"/>
          </w:tcPr>
          <w:p>
            <w:r>
              <w:rPr>
                <w:rFonts w:ascii="Calibri" w:hAnsi="Calibri"/>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$4.235B</w:t>
            </w:r>
          </w:p>
        </w:tc>
        <w:tc>
          <w:tcPr>
            <w:tcW w:type="dxa" w:w="1440"/>
          </w:tcPr>
          <w:p>
            <w:r>
              <w:rPr>
                <w:rFonts w:ascii="Calibri" w:hAnsi="Calibri"/>
                <w:sz w:val="22"/>
              </w:rPr>
              <w:t>$4.263B</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$1.361B</w:t>
            </w:r>
          </w:p>
        </w:tc>
        <w:tc>
          <w:tcPr>
            <w:tcW w:type="dxa" w:w="1440"/>
          </w:tcPr>
          <w:p>
            <w:r>
              <w:rPr>
                <w:rFonts w:ascii="Calibri" w:hAnsi="Calibri"/>
                <w:sz w:val="22"/>
              </w:rPr>
              <w:t>$1.341B</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$4.212B</w:t>
            </w:r>
          </w:p>
        </w:tc>
        <w:tc>
          <w:tcPr>
            <w:tcW w:type="dxa" w:w="1440"/>
          </w:tcPr>
          <w:p>
            <w:r>
              <w:rPr>
                <w:rFonts w:ascii="Calibri" w:hAnsi="Calibri"/>
                <w:sz w:val="22"/>
              </w:rPr>
              <w:t>$4.245B</w:t>
            </w:r>
          </w:p>
        </w:tc>
        <w:tc>
          <w:tcPr>
            <w:tcW w:type="dxa" w:w="1440"/>
          </w:tcPr>
          <w:p>
            <w:r>
              <w:rPr>
                <w:rFonts w:ascii="Calibri" w:hAnsi="Calibri"/>
                <w:sz w:val="22"/>
              </w:rPr>
              <w:t>-0.8%</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$1.383B</w:t>
            </w:r>
          </w:p>
        </w:tc>
        <w:tc>
          <w:tcPr>
            <w:tcW w:type="dxa" w:w="1440"/>
          </w:tcPr>
          <w:p>
            <w:r>
              <w:rPr>
                <w:rFonts w:ascii="Calibri" w:hAnsi="Calibri"/>
                <w:sz w:val="22"/>
              </w:rPr>
              <w:t>$1.355B</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$4.136B</w:t>
            </w:r>
          </w:p>
        </w:tc>
        <w:tc>
          <w:tcPr>
            <w:tcW w:type="dxa" w:w="1440"/>
          </w:tcPr>
          <w:p>
            <w:r>
              <w:rPr>
                <w:rFonts w:ascii="Calibri" w:hAnsi="Calibri"/>
                <w:sz w:val="22"/>
              </w:rPr>
              <w:t>$4.210B</w:t>
            </w:r>
          </w:p>
        </w:tc>
        <w:tc>
          <w:tcPr>
            <w:tcW w:type="dxa" w:w="1440"/>
          </w:tcPr>
          <w:p>
            <w:r>
              <w:rPr>
                <w:rFonts w:ascii="Calibri" w:hAnsi="Calibri"/>
                <w:sz w:val="22"/>
              </w:rPr>
              <w:t>-1.8%</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$1.295B</w:t>
            </w:r>
          </w:p>
        </w:tc>
        <w:tc>
          <w:tcPr>
            <w:tcW w:type="dxa" w:w="1440"/>
          </w:tcPr>
          <w:p>
            <w:r>
              <w:rPr>
                <w:rFonts w:ascii="Calibri" w:hAnsi="Calibri"/>
                <w:sz w:val="22"/>
              </w:rPr>
              <w:t>$1.301B</w:t>
            </w:r>
          </w:p>
        </w:tc>
        <w:tc>
          <w:tcPr>
            <w:tcW w:type="dxa" w:w="1440"/>
          </w:tcPr>
          <w:p>
            <w:r>
              <w:rPr>
                <w:rFonts w:ascii="Calibri" w:hAnsi="Calibri"/>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$4.113B</w:t>
            </w:r>
          </w:p>
        </w:tc>
        <w:tc>
          <w:tcPr>
            <w:tcW w:type="dxa" w:w="1440"/>
          </w:tcPr>
          <w:p>
            <w:r>
              <w:rPr>
                <w:rFonts w:ascii="Calibri" w:hAnsi="Calibri"/>
                <w:sz w:val="22"/>
              </w:rPr>
              <w:t>$4.098B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$1.322B</w:t>
            </w:r>
          </w:p>
        </w:tc>
        <w:tc>
          <w:tcPr>
            <w:tcW w:type="dxa" w:w="1440"/>
          </w:tcPr>
          <w:p>
            <w:r>
              <w:rPr>
                <w:rFonts w:ascii="Calibri" w:hAnsi="Calibri"/>
                <w:sz w:val="22"/>
              </w:rPr>
              <w:t>$1.302B</w:t>
            </w:r>
          </w:p>
        </w:tc>
        <w:tc>
          <w:tcPr>
            <w:tcW w:type="dxa" w:w="1440"/>
          </w:tcPr>
          <w:p>
            <w:r>
              <w:rPr>
                <w:rFonts w:ascii="Calibri" w:hAnsi="Calibri"/>
                <w:sz w:val="22"/>
              </w:rPr>
              <w:t>+1.5%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RSG consistently beats on Adj. EBITDA (7 of 8 quarters) but has a mixed revenue record (4 beats, 4 misses over the last 8 quarters). The EBITDA beat pattern reflects strong cost discipline and pricing power that tends to offset revenue softness — a dynamic likely to persist in Q2 2026. Revenue misses have been driven by volume headwinds and ES softness, not pricing.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reaffirmed in full on the Q1 2026 call (May 7) with no post-earnings revisions — the baseline is unchanged. Management’s tone shifted </w:t>
      </w:r>
      <w:r>
        <w:rPr>
          <w:rFonts w:ascii="Calibri" w:hAnsi="Calibri"/>
          <w:b/>
          <w:color w:val="525866"/>
          <w:sz w:val="22"/>
        </w:rPr>
        <w:t>slightly more optimistic</w:t>
      </w:r>
      <w:r>
        <w:rPr>
          <w:rFonts w:ascii="Calibri" w:hAnsi="Calibri"/>
          <w:color w:val="525866"/>
          <w:sz w:val="22"/>
        </w:rPr>
        <w:t xml:space="preserve"> on underlying volume trends vs. Q4 2025, citing green shoots in special waste and large container, while explicitly guiding for Q2 margins to be flat-to-slightly-down YoY due to event-driven volume comps.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(FY 2026)</w:t>
            </w:r>
          </w:p>
        </w:tc>
        <w:tc>
          <w:tcPr>
            <w:tcW w:type="dxa" w:w="1728"/>
          </w:tcPr>
          <w:p>
            <w:r>
              <w:rPr>
                <w:rFonts w:ascii="Calibri" w:hAnsi="Calibri"/>
                <w:sz w:val="22"/>
              </w:rPr>
              <w:t>$16.80B – $17.15B</w:t>
            </w:r>
          </w:p>
        </w:tc>
        <w:tc>
          <w:tcPr>
            <w:tcW w:type="dxa" w:w="1728"/>
          </w:tcPr>
          <w:p>
            <w:r>
              <w:rPr>
                <w:rFonts w:ascii="Calibri" w:hAnsi="Calibri"/>
                <w:sz w:val="22"/>
              </w:rPr>
              <w:t>—</w:t>
            </w:r>
          </w:p>
        </w:tc>
        <w:tc>
          <w:tcPr>
            <w:tcW w:type="dxa" w:w="1728"/>
          </w:tcPr>
          <w:p>
            <w:r>
              <w:rPr>
                <w:rFonts w:ascii="Calibri" w:hAnsi="Calibri"/>
                <w:sz w:val="22"/>
              </w:rPr>
              <w:t>$17.21B</w:t>
            </w:r>
          </w:p>
        </w:tc>
        <w:tc>
          <w:tcPr>
            <w:tcW w:type="dxa" w:w="1728"/>
          </w:tcPr>
          <w:p>
            <w:r>
              <w:rPr>
                <w:rFonts w:ascii="Calibri" w:hAnsi="Calibri"/>
                <w:sz w:val="22"/>
              </w:rPr>
              <w:t>Guidance reaffirmed; consensus at high end of range</w:t>
            </w:r>
          </w:p>
        </w:tc>
      </w:tr>
      <w:tr>
        <w:tc>
          <w:tcPr>
            <w:tcW w:type="dxa" w:w="1728"/>
          </w:tcPr>
          <w:p>
            <w:r>
              <w:rPr>
                <w:rFonts w:ascii="Calibri" w:hAnsi="Calibri"/>
                <w:sz w:val="22"/>
              </w:rPr>
              <w:t>Adj. EBITDA Margin (FY 2026)</w:t>
            </w:r>
          </w:p>
        </w:tc>
        <w:tc>
          <w:tcPr>
            <w:tcW w:type="dxa" w:w="1728"/>
          </w:tcPr>
          <w:p>
            <w:r>
              <w:rPr>
                <w:rFonts w:ascii="Calibri" w:hAnsi="Calibri"/>
                <w:sz w:val="22"/>
              </w:rPr>
              <w:t>~32% (annual expansion target maintained)</w:t>
            </w:r>
          </w:p>
        </w:tc>
        <w:tc>
          <w:tcPr>
            <w:tcW w:type="dxa" w:w="1728"/>
          </w:tcPr>
          <w:p>
            <w:r>
              <w:rPr>
                <w:rFonts w:ascii="Calibri" w:hAnsi="Calibri"/>
                <w:sz w:val="22"/>
              </w:rPr>
              <w:t>—</w:t>
            </w:r>
          </w:p>
        </w:tc>
        <w:tc>
          <w:tcPr>
            <w:tcW w:type="dxa" w:w="1728"/>
          </w:tcPr>
          <w:p>
            <w:r>
              <w:rPr>
                <w:rFonts w:ascii="Calibri" w:hAnsi="Calibri"/>
                <w:sz w:val="22"/>
              </w:rPr>
              <w:t>32.2%</w:t>
            </w:r>
          </w:p>
        </w:tc>
        <w:tc>
          <w:tcPr>
            <w:tcW w:type="dxa" w:w="1728"/>
          </w:tcPr>
          <w:p>
            <w:r>
              <w:rPr>
                <w:rFonts w:ascii="Calibri" w:hAnsi="Calibri"/>
                <w:sz w:val="22"/>
              </w:rPr>
              <w:t>Guidance reaffirmed; consensus slightly above midpoint</w:t>
            </w:r>
          </w:p>
        </w:tc>
      </w:tr>
      <w:tr>
        <w:tc>
          <w:tcPr>
            <w:tcW w:type="dxa" w:w="1728"/>
          </w:tcPr>
          <w:p>
            <w:r>
              <w:rPr>
                <w:rFonts w:ascii="Calibri" w:hAnsi="Calibri"/>
                <w:sz w:val="22"/>
              </w:rPr>
              <w:t>Adj. EPS (FY 2026)</w:t>
            </w:r>
          </w:p>
        </w:tc>
        <w:tc>
          <w:tcPr>
            <w:tcW w:type="dxa" w:w="1728"/>
          </w:tcPr>
          <w:p>
            <w:r>
              <w:rPr>
                <w:rFonts w:ascii="Calibri" w:hAnsi="Calibri"/>
                <w:sz w:val="22"/>
              </w:rPr>
              <w:t>$6.97 – $7.28</w:t>
            </w:r>
          </w:p>
        </w:tc>
        <w:tc>
          <w:tcPr>
            <w:tcW w:type="dxa" w:w="1728"/>
          </w:tcPr>
          <w:p>
            <w:r>
              <w:rPr>
                <w:rFonts w:ascii="Calibri" w:hAnsi="Calibri"/>
                <w:sz w:val="22"/>
              </w:rPr>
              <w:t>—</w:t>
            </w:r>
          </w:p>
        </w:tc>
        <w:tc>
          <w:tcPr>
            <w:tcW w:type="dxa" w:w="1728"/>
          </w:tcPr>
          <w:p>
            <w:r>
              <w:rPr>
                <w:rFonts w:ascii="Calibri" w:hAnsi="Calibri"/>
                <w:sz w:val="22"/>
              </w:rPr>
              <w:t>$7.30</w:t>
            </w:r>
          </w:p>
        </w:tc>
        <w:tc>
          <w:tcPr>
            <w:tcW w:type="dxa" w:w="1728"/>
          </w:tcPr>
          <w:p>
            <w:r>
              <w:rPr>
                <w:rFonts w:ascii="Calibri" w:hAnsi="Calibri"/>
                <w:sz w:val="22"/>
              </w:rPr>
              <w:t>Guidance reaffirmed; consensus slightly above top end</w:t>
            </w:r>
          </w:p>
        </w:tc>
      </w:tr>
      <w:tr>
        <w:tc>
          <w:tcPr>
            <w:tcW w:type="dxa" w:w="1728"/>
          </w:tcPr>
          <w:p>
            <w:r>
              <w:rPr>
                <w:rFonts w:ascii="Calibri" w:hAnsi="Calibri"/>
                <w:sz w:val="22"/>
              </w:rPr>
              <w:t>Adj. Free Cash Flow (FY 2026)</w:t>
            </w:r>
          </w:p>
        </w:tc>
        <w:tc>
          <w:tcPr>
            <w:tcW w:type="dxa" w:w="1728"/>
          </w:tcPr>
          <w:p>
            <w:r>
              <w:rPr>
                <w:rFonts w:ascii="Calibri" w:hAnsi="Calibri"/>
                <w:sz w:val="22"/>
              </w:rPr>
              <w:t>$2.55B – $2.65B</w:t>
            </w:r>
          </w:p>
        </w:tc>
        <w:tc>
          <w:tcPr>
            <w:tcW w:type="dxa" w:w="1728"/>
          </w:tcPr>
          <w:p>
            <w:r>
              <w:rPr>
                <w:rFonts w:ascii="Calibri" w:hAnsi="Calibri"/>
                <w:sz w:val="22"/>
              </w:rPr>
              <w:t>—</w:t>
            </w:r>
          </w:p>
        </w:tc>
        <w:tc>
          <w:tcPr>
            <w:tcW w:type="dxa" w:w="1728"/>
          </w:tcPr>
          <w:p>
            <w:r>
              <w:rPr>
                <w:rFonts w:ascii="Calibri" w:hAnsi="Calibri"/>
                <w:sz w:val="22"/>
              </w:rPr>
              <w:t>$2.64B</w:t>
            </w:r>
          </w:p>
        </w:tc>
        <w:tc>
          <w:tcPr>
            <w:tcW w:type="dxa" w:w="1728"/>
          </w:tcPr>
          <w:p>
            <w:r>
              <w:rPr>
                <w:rFonts w:ascii="Calibri" w:hAnsi="Calibri"/>
                <w:sz w:val="22"/>
              </w:rPr>
              <w:t>Guidance reaffirmed; consensus at high end</w:t>
            </w:r>
          </w:p>
        </w:tc>
      </w:tr>
      <w:tr>
        <w:tc>
          <w:tcPr>
            <w:tcW w:type="dxa" w:w="1728"/>
          </w:tcPr>
          <w:p>
            <w:r>
              <w:rPr>
                <w:rFonts w:ascii="Calibri" w:hAnsi="Calibri"/>
                <w:sz w:val="22"/>
              </w:rPr>
              <w:t>Q2 2026 EBITDA Margin</w:t>
            </w:r>
          </w:p>
        </w:tc>
        <w:tc>
          <w:tcPr>
            <w:tcW w:type="dxa" w:w="1728"/>
          </w:tcPr>
          <w:p>
            <w:r>
              <w:rPr>
                <w:rFonts w:ascii="Calibri" w:hAnsi="Calibri"/>
                <w:sz w:val="22"/>
              </w:rPr>
              <w:t>Flat to slightly down YoY (due to event-driven landfill volume comp)</w:t>
            </w:r>
          </w:p>
        </w:tc>
        <w:tc>
          <w:tcPr>
            <w:tcW w:type="dxa" w:w="1728"/>
          </w:tcPr>
          <w:p>
            <w:r>
              <w:rPr>
                <w:rFonts w:ascii="Calibri" w:hAnsi="Calibri"/>
                <w:sz w:val="22"/>
              </w:rPr>
              <w:t>—</w:t>
            </w:r>
          </w:p>
        </w:tc>
        <w:tc>
          <w:tcPr>
            <w:tcW w:type="dxa" w:w="1728"/>
          </w:tcPr>
          <w:p>
            <w:r>
              <w:rPr>
                <w:rFonts w:ascii="Calibri" w:hAnsi="Calibri"/>
                <w:sz w:val="22"/>
              </w:rPr>
              <w:t>31.9% (vs. 32.1% in Q2 2025)</w:t>
            </w:r>
          </w:p>
        </w:tc>
        <w:tc>
          <w:tcPr>
            <w:tcW w:type="dxa" w:w="1728"/>
          </w:tcPr>
          <w:p>
            <w:r>
              <w:rPr>
                <w:rFonts w:ascii="Calibri" w:hAnsi="Calibri"/>
                <w:sz w:val="22"/>
              </w:rPr>
              <w:t>Consensus consistent with guidance; underlying business expected to expand ex-event volumes</w:t>
            </w:r>
          </w:p>
        </w:tc>
      </w:tr>
      <w:tr>
        <w:tc>
          <w:tcPr>
            <w:tcW w:type="dxa" w:w="1728"/>
          </w:tcPr>
          <w:p>
            <w:r>
              <w:rPr>
                <w:rFonts w:ascii="Calibri" w:hAnsi="Calibri"/>
                <w:sz w:val="22"/>
              </w:rPr>
              <w:t>Q2 2026 Volume</w:t>
            </w:r>
          </w:p>
        </w:tc>
        <w:tc>
          <w:tcPr>
            <w:tcW w:type="dxa" w:w="1728"/>
          </w:tcPr>
          <w:p>
            <w:r>
              <w:rPr>
                <w:rFonts w:ascii="Calibri" w:hAnsi="Calibri"/>
                <w:sz w:val="22"/>
              </w:rPr>
              <w:t>Negative in Q2 &amp; Q3; flip to positive in Q4</w:t>
            </w:r>
          </w:p>
        </w:tc>
        <w:tc>
          <w:tcPr>
            <w:tcW w:type="dxa" w:w="1728"/>
          </w:tcPr>
          <w:p>
            <w:r>
              <w:rPr>
                <w:rFonts w:ascii="Calibri" w:hAnsi="Calibri"/>
                <w:sz w:val="22"/>
              </w:rPr>
              <w:t>—</w:t>
            </w:r>
          </w:p>
        </w:tc>
        <w:tc>
          <w:tcPr>
            <w:tcW w:type="dxa" w:w="1728"/>
          </w:tcPr>
          <w:p>
            <w:r>
              <w:rPr>
                <w:rFonts w:ascii="Calibri" w:hAnsi="Calibri"/>
                <w:sz w:val="22"/>
              </w:rPr>
              <w:t>-1.6% (consensus)</w:t>
            </w:r>
          </w:p>
        </w:tc>
        <w:tc>
          <w:tcPr>
            <w:tcW w:type="dxa" w:w="1728"/>
          </w:tcPr>
          <w:p>
            <w:r>
              <w:rPr>
                <w:rFonts w:ascii="Calibri" w:hAnsi="Calibri"/>
                <w:sz w:val="22"/>
              </w:rPr>
              <w:t>Consistent with guidance; event-driven comp the primary driver</w:t>
            </w:r>
          </w:p>
        </w:tc>
      </w:tr>
      <w:tr>
        <w:tc>
          <w:tcPr>
            <w:tcW w:type="dxa" w:w="1728"/>
          </w:tcPr>
          <w:p>
            <w:r>
              <w:rPr>
                <w:rFonts w:ascii="Calibri" w:hAnsi="Calibri"/>
                <w:sz w:val="22"/>
              </w:rPr>
              <w:t>Environmental Solutions</w:t>
            </w:r>
          </w:p>
        </w:tc>
        <w:tc>
          <w:tcPr>
            <w:tcW w:type="dxa" w:w="1728"/>
          </w:tcPr>
          <w:p>
            <w:r>
              <w:rPr>
                <w:rFonts w:ascii="Calibri" w:hAnsi="Calibri"/>
                <w:sz w:val="22"/>
              </w:rPr>
              <w:t>YoY revenue growth expected in H2 2026; H1 still declining</w:t>
            </w:r>
          </w:p>
        </w:tc>
        <w:tc>
          <w:tcPr>
            <w:tcW w:type="dxa" w:w="1728"/>
          </w:tcPr>
          <w:p>
            <w:r>
              <w:rPr>
                <w:rFonts w:ascii="Calibri" w:hAnsi="Calibri"/>
                <w:sz w:val="22"/>
              </w:rPr>
              <w:t>—</w:t>
            </w:r>
          </w:p>
        </w:tc>
        <w:tc>
          <w:tcPr>
            <w:tcW w:type="dxa" w:w="1728"/>
          </w:tcPr>
          <w:p>
            <w:r>
              <w:rPr>
                <w:rFonts w:ascii="Calibri" w:hAnsi="Calibri"/>
                <w:sz w:val="22"/>
              </w:rPr>
              <w:t>$446M Q2 est. (vs. $462M Q2 2025)</w:t>
            </w:r>
          </w:p>
        </w:tc>
        <w:tc>
          <w:tcPr>
            <w:tcW w:type="dxa" w:w="1728"/>
          </w:tcPr>
          <w:p>
            <w:r>
              <w:rPr>
                <w:rFonts w:ascii="Calibri" w:hAnsi="Calibri"/>
                <w:sz w:val="22"/>
              </w:rPr>
              <w:t>Consistent; pipeline building, momentum expected to build Q2→Q3→Q4</w:t>
            </w:r>
          </w:p>
        </w:tc>
      </w:tr>
      <w:tr>
        <w:tc>
          <w:tcPr>
            <w:tcW w:type="dxa" w:w="1728"/>
          </w:tcPr>
          <w:p>
            <w:r>
              <w:rPr>
                <w:rFonts w:ascii="Calibri" w:hAnsi="Calibri"/>
                <w:sz w:val="22"/>
              </w:rPr>
              <w:t>Acquisitions (FY 2026)</w:t>
            </w:r>
          </w:p>
        </w:tc>
        <w:tc>
          <w:tcPr>
            <w:tcW w:type="dxa" w:w="1728"/>
          </w:tcPr>
          <w:p>
            <w:r>
              <w:rPr>
                <w:rFonts w:ascii="Calibri" w:hAnsi="Calibri"/>
                <w:sz w:val="22"/>
              </w:rPr>
              <w:t>&gt;$1B investment target</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&gt;$700M invested YTD as of Q1; on track to exceed $1B</w:t>
            </w:r>
          </w:p>
        </w:tc>
      </w:tr>
      <w:tr>
        <w:tc>
          <w:tcPr>
            <w:tcW w:type="dxa" w:w="1728"/>
          </w:tcPr>
          <w:p>
            <w:r>
              <w:rPr>
                <w:rFonts w:ascii="Calibri" w:hAnsi="Calibri"/>
                <w:sz w:val="22"/>
              </w:rPr>
              <w:t>Fuel Recovery</w:t>
            </w:r>
          </w:p>
        </w:tc>
        <w:tc>
          <w:tcPr>
            <w:tcW w:type="dxa" w:w="1728"/>
          </w:tcPr>
          <w:p>
            <w:r>
              <w:rPr>
                <w:rFonts w:ascii="Calibri" w:hAnsi="Calibri"/>
                <w:sz w:val="22"/>
              </w:rPr>
              <w:t>Fuel recovery fees to offset higher fuel costs beginning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Positive for Q2 margins vs. Q1 (20 bps headwind in Q1 from net fuel)</w:t>
            </w:r>
          </w:p>
        </w:tc>
      </w:tr>
    </w:tbl>
    <w:p>
      <w:r>
        <w:rPr>
          <w:rFonts w:ascii="Calibri" w:hAnsi="Calibri"/>
          <w:b/>
          <w:color w:val="525866"/>
          <w:sz w:val="22"/>
        </w:rPr>
        <w:t xml:space="preserve">Note: </w:t>
      </w:r>
      <w:r>
        <w:rPr>
          <w:rFonts w:ascii="Calibri" w:hAnsi="Calibri"/>
          <w:color w:val="525866"/>
          <w:sz w:val="22"/>
        </w:rPr>
        <w:t>No post-earnings guidance revisions have been issued since the Q1 2026 call (May 7, 2026). The June 23, 2026 $1.2B senior notes offering (8-K) and July 28, 2026 dividend increase (+$0.045/share to $0.670/quarter) are capital structure/allocation actions, not guidance changes. Source: RSG Q1 2026 earnings call transcript; RSG 8-K filings.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unchanged since Q1 earnings — revenue up ~$7M, EBITDA down ~$1M, EPS down ~$0.01 — indicating the Street has fully absorbed management’s guidance and is not pricing in any incremental upside or downside. </w:t>
      </w:r>
      <w:r>
        <w:rPr>
          <w:rFonts w:ascii="Calibri" w:hAnsi="Calibri"/>
          <w:b/>
          <w:color w:val="525866"/>
          <w:sz w:val="22"/>
        </w:rPr>
        <w:t>The lack of upward revision despite “green shoots” commentary is a potential source of positive surprise if ES or special waste volumes outperform.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(5/14/26 —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Revenue (Q2 2026)</w:t>
            </w:r>
          </w:p>
        </w:tc>
        <w:tc>
          <w:tcPr>
            <w:tcW w:type="dxa" w:w="1080"/>
          </w:tcPr>
          <w:p>
            <w:r>
              <w:rPr>
                <w:rFonts w:ascii="Calibri" w:hAnsi="Calibri"/>
                <w:sz w:val="22"/>
              </w:rPr>
              <w:t>$4.357B</w:t>
            </w:r>
          </w:p>
        </w:tc>
        <w:tc>
          <w:tcPr>
            <w:tcW w:type="dxa" w:w="1080"/>
          </w:tcPr>
          <w:p>
            <w:r>
              <w:rPr>
                <w:rFonts w:ascii="Calibri" w:hAnsi="Calibri"/>
                <w:sz w:val="22"/>
              </w:rPr>
              <w:t>$4.363B</w:t>
            </w:r>
          </w:p>
        </w:tc>
        <w:tc>
          <w:tcPr>
            <w:tcW w:type="dxa" w:w="1080"/>
          </w:tcPr>
          <w:p>
            <w:r>
              <w:rPr>
                <w:rFonts w:ascii="Calibri" w:hAnsi="Calibri"/>
                <w:sz w:val="22"/>
              </w:rPr>
              <w:t>+0.2%</w:t>
            </w:r>
          </w:p>
        </w:tc>
        <w:tc>
          <w:tcPr>
            <w:tcW w:type="dxa" w:w="1080"/>
          </w:tcPr>
          <w:p>
            <w:r>
              <w:rPr>
                <w:rFonts w:ascii="Calibri" w:hAnsi="Calibri"/>
                <w:sz w:val="22"/>
              </w:rPr>
              <w:t>No Q-specific guide</w:t>
            </w:r>
          </w:p>
        </w:tc>
        <w:tc>
          <w:tcPr>
            <w:tcW w:type="dxa" w:w="1080"/>
          </w:tcPr>
          <w:p>
            <w:r>
              <w:rPr>
                <w:rFonts w:ascii="Calibri" w:hAnsi="Calibri"/>
                <w:sz w:val="22"/>
              </w:rPr>
              <w:t>No Q-specific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$17.199B</w:t>
            </w:r>
          </w:p>
        </w:tc>
        <w:tc>
          <w:tcPr>
            <w:tcW w:type="dxa" w:w="1080"/>
          </w:tcPr>
          <w:p>
            <w:r>
              <w:rPr>
                <w:rFonts w:ascii="Calibri" w:hAnsi="Calibri"/>
                <w:sz w:val="22"/>
              </w:rPr>
              <w:t>$17.208B</w:t>
            </w:r>
          </w:p>
        </w:tc>
        <w:tc>
          <w:tcPr>
            <w:tcW w:type="dxa" w:w="1080"/>
          </w:tcPr>
          <w:p>
            <w:r>
              <w:rPr>
                <w:rFonts w:ascii="Calibri" w:hAnsi="Calibri"/>
                <w:sz w:val="22"/>
              </w:rPr>
              <w:t>+0.1%</w:t>
            </w:r>
          </w:p>
        </w:tc>
        <w:tc>
          <w:tcPr>
            <w:tcW w:type="dxa" w:w="1080"/>
          </w:tcPr>
          <w:p>
            <w:r>
              <w:rPr>
                <w:rFonts w:ascii="Calibri" w:hAnsi="Calibri"/>
                <w:sz w:val="22"/>
              </w:rPr>
              <w:t>$16.80–$17.15B</w:t>
            </w:r>
          </w:p>
        </w:tc>
        <w:tc>
          <w:tcPr>
            <w:tcW w:type="dxa" w:w="1080"/>
          </w:tcPr>
          <w:p>
            <w:r>
              <w:rPr>
                <w:rFonts w:ascii="Calibri" w:hAnsi="Calibri"/>
                <w:sz w:val="22"/>
              </w:rPr>
              <w:t>$16.80–$17.15B (unchanged)</w:t>
            </w:r>
          </w:p>
        </w:tc>
        <w:tc>
          <w:tcPr>
            <w:tcW w:type="dxa" w:w="1080"/>
          </w:tcPr>
          <w:p>
            <w:r>
              <w:rPr>
                <w:rFonts w:ascii="Calibri" w:hAnsi="Calibri"/>
                <w:sz w:val="22"/>
              </w:rPr>
              <w:t>Unchanged</w:t>
            </w:r>
          </w:p>
        </w:tc>
        <w:tc>
          <w:tcPr>
            <w:tcW w:type="dxa" w:w="1080"/>
          </w:tcPr>
          <w:p>
            <w:r>
              <w:rPr>
                <w:rFonts w:ascii="Calibri" w:hAnsi="Calibri"/>
                <w:sz w:val="22"/>
              </w:rPr>
              <w:t>+0.3% above midpoint</w:t>
            </w:r>
          </w:p>
        </w:tc>
      </w:tr>
      <w:tr>
        <w:tc>
          <w:tcPr>
            <w:tcW w:type="dxa" w:w="1080"/>
          </w:tcPr>
          <w:p>
            <w:r>
              <w:rPr>
                <w:rFonts w:ascii="Calibri" w:hAnsi="Calibri"/>
                <w:sz w:val="22"/>
              </w:rPr>
              <w:t>Adj. EBITDA (Q2 2026)</w:t>
            </w:r>
          </w:p>
        </w:tc>
        <w:tc>
          <w:tcPr>
            <w:tcW w:type="dxa" w:w="1080"/>
          </w:tcPr>
          <w:p>
            <w:r>
              <w:rPr>
                <w:rFonts w:ascii="Calibri" w:hAnsi="Calibri"/>
                <w:sz w:val="22"/>
              </w:rPr>
              <w:t>$1.392B</w:t>
            </w:r>
          </w:p>
        </w:tc>
        <w:tc>
          <w:tcPr>
            <w:tcW w:type="dxa" w:w="1080"/>
          </w:tcPr>
          <w:p>
            <w:r>
              <w:rPr>
                <w:rFonts w:ascii="Calibri" w:hAnsi="Calibri"/>
                <w:sz w:val="22"/>
              </w:rPr>
              <w:t>$1.391B</w:t>
            </w:r>
          </w:p>
        </w:tc>
        <w:tc>
          <w:tcPr>
            <w:tcW w:type="dxa" w:w="1080"/>
          </w:tcPr>
          <w:p>
            <w:r>
              <w:rPr>
                <w:rFonts w:ascii="Calibri" w:hAnsi="Calibri"/>
                <w:sz w:val="22"/>
              </w:rPr>
              <w:t>-0.1%</w:t>
            </w:r>
          </w:p>
        </w:tc>
        <w:tc>
          <w:tcPr>
            <w:tcW w:type="dxa" w:w="1080"/>
          </w:tcPr>
          <w:p>
            <w:r>
              <w:rPr>
                <w:rFonts w:ascii="Calibri" w:hAnsi="Calibri"/>
                <w:sz w:val="22"/>
              </w:rPr>
              <w:t>Flat to slightly down margin YoY</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w:t>
            </w:r>
          </w:p>
        </w:tc>
      </w:tr>
      <w:tr>
        <w:tc>
          <w:tcPr>
            <w:tcW w:type="dxa" w:w="1080"/>
          </w:tcPr>
          <w:p>
            <w:r>
              <w:rPr>
                <w:rFonts w:ascii="Calibri" w:hAnsi="Calibri"/>
                <w:sz w:val="22"/>
              </w:rPr>
              <w:t>Adj. EBITDA (FY 2026)</w:t>
            </w:r>
          </w:p>
        </w:tc>
        <w:tc>
          <w:tcPr>
            <w:tcW w:type="dxa" w:w="1080"/>
          </w:tcPr>
          <w:p>
            <w:r>
              <w:rPr>
                <w:rFonts w:ascii="Calibri" w:hAnsi="Calibri"/>
                <w:sz w:val="22"/>
              </w:rPr>
              <w:t>$5.525B</w:t>
            </w:r>
          </w:p>
        </w:tc>
        <w:tc>
          <w:tcPr>
            <w:tcW w:type="dxa" w:w="1080"/>
          </w:tcPr>
          <w:p>
            <w:r>
              <w:rPr>
                <w:rFonts w:ascii="Calibri" w:hAnsi="Calibri"/>
                <w:sz w:val="22"/>
              </w:rPr>
              <w:t>$5.531B</w:t>
            </w:r>
          </w:p>
        </w:tc>
        <w:tc>
          <w:tcPr>
            <w:tcW w:type="dxa" w:w="1080"/>
          </w:tcPr>
          <w:p>
            <w:r>
              <w:rPr>
                <w:rFonts w:ascii="Calibri" w:hAnsi="Calibri"/>
                <w:sz w:val="22"/>
              </w:rPr>
              <w:t>+0.1%</w:t>
            </w:r>
          </w:p>
        </w:tc>
        <w:tc>
          <w:tcPr>
            <w:tcW w:type="dxa" w:w="1080"/>
          </w:tcPr>
          <w:p>
            <w:r>
              <w:rPr>
                <w:rFonts w:ascii="Calibri" w:hAnsi="Calibri"/>
                <w:sz w:val="22"/>
              </w:rPr>
              <w:t>~32% margin (annual expansion)</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w:t>
            </w:r>
          </w:p>
        </w:tc>
      </w:tr>
      <w:tr>
        <w:tc>
          <w:tcPr>
            <w:tcW w:type="dxa" w:w="1080"/>
          </w:tcPr>
          <w:p>
            <w:r>
              <w:rPr>
                <w:rFonts w:ascii="Calibri" w:hAnsi="Calibri"/>
                <w:sz w:val="22"/>
              </w:rPr>
              <w:t>Adj. EPS (Q2 2026)</w:t>
            </w:r>
          </w:p>
        </w:tc>
        <w:tc>
          <w:tcPr>
            <w:tcW w:type="dxa" w:w="1080"/>
          </w:tcPr>
          <w:p>
            <w:r>
              <w:rPr>
                <w:rFonts w:ascii="Calibri" w:hAnsi="Calibri"/>
                <w:sz w:val="22"/>
              </w:rPr>
              <w:t>$1.835</w:t>
            </w:r>
          </w:p>
        </w:tc>
        <w:tc>
          <w:tcPr>
            <w:tcW w:type="dxa" w:w="1080"/>
          </w:tcPr>
          <w:p>
            <w:r>
              <w:rPr>
                <w:rFonts w:ascii="Calibri" w:hAnsi="Calibri"/>
                <w:sz w:val="22"/>
              </w:rPr>
              <w:t>$1.821</w:t>
            </w:r>
          </w:p>
        </w:tc>
        <w:tc>
          <w:tcPr>
            <w:tcW w:type="dxa" w:w="1080"/>
          </w:tcPr>
          <w:p>
            <w:r>
              <w:rPr>
                <w:rFonts w:ascii="Calibri" w:hAnsi="Calibri"/>
                <w:sz w:val="22"/>
              </w:rPr>
              <w:t>-0.8%</w:t>
            </w:r>
          </w:p>
        </w:tc>
        <w:tc>
          <w:tcPr>
            <w:tcW w:type="dxa" w:w="1080"/>
          </w:tcPr>
          <w:p>
            <w:r>
              <w:rPr>
                <w:rFonts w:ascii="Calibri" w:hAnsi="Calibri"/>
                <w:sz w:val="22"/>
              </w:rPr>
              <w:t>No Q-specific guide</w:t>
            </w:r>
          </w:p>
        </w:tc>
        <w:tc>
          <w:tcPr>
            <w:tcW w:type="dxa" w:w="1080"/>
          </w:tcPr>
          <w:p>
            <w:r>
              <w:rPr>
                <w:rFonts w:ascii="Calibri" w:hAnsi="Calibri"/>
                <w:sz w:val="22"/>
              </w:rPr>
              <w:t>No Q-specific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(FY 2026)</w:t>
            </w:r>
          </w:p>
        </w:tc>
        <w:tc>
          <w:tcPr>
            <w:tcW w:type="dxa" w:w="1080"/>
          </w:tcPr>
          <w:p>
            <w:r>
              <w:rPr>
                <w:rFonts w:ascii="Calibri" w:hAnsi="Calibri"/>
                <w:sz w:val="22"/>
              </w:rPr>
              <w:t>$7.294</w:t>
            </w:r>
          </w:p>
        </w:tc>
        <w:tc>
          <w:tcPr>
            <w:tcW w:type="dxa" w:w="1080"/>
          </w:tcPr>
          <w:p>
            <w:r>
              <w:rPr>
                <w:rFonts w:ascii="Calibri" w:hAnsi="Calibri"/>
                <w:sz w:val="22"/>
              </w:rPr>
              <w:t>$7.301</w:t>
            </w:r>
          </w:p>
        </w:tc>
        <w:tc>
          <w:tcPr>
            <w:tcW w:type="dxa" w:w="1080"/>
          </w:tcPr>
          <w:p>
            <w:r>
              <w:rPr>
                <w:rFonts w:ascii="Calibri" w:hAnsi="Calibri"/>
                <w:sz w:val="22"/>
              </w:rPr>
              <w:t>+0.1%</w:t>
            </w:r>
          </w:p>
        </w:tc>
        <w:tc>
          <w:tcPr>
            <w:tcW w:type="dxa" w:w="1080"/>
          </w:tcPr>
          <w:p>
            <w:r>
              <w:rPr>
                <w:rFonts w:ascii="Calibri" w:hAnsi="Calibri"/>
                <w:sz w:val="22"/>
              </w:rPr>
              <w:t>$6.97–$7.28</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+0.3% above top end</w:t>
            </w:r>
          </w:p>
        </w:tc>
      </w:tr>
      <w:tr>
        <w:tc>
          <w:tcPr>
            <w:tcW w:type="dxa" w:w="1080"/>
          </w:tcPr>
          <w:p>
            <w:r>
              <w:rPr>
                <w:rFonts w:ascii="Calibri" w:hAnsi="Calibri"/>
                <w:sz w:val="22"/>
              </w:rPr>
              <w:t>Adj. FCF (Q2 2026)</w:t>
            </w:r>
          </w:p>
        </w:tc>
        <w:tc>
          <w:tcPr>
            <w:tcW w:type="dxa" w:w="1080"/>
          </w:tcPr>
          <w:p>
            <w:r>
              <w:rPr>
                <w:rFonts w:ascii="Calibri" w:hAnsi="Calibri"/>
                <w:sz w:val="22"/>
              </w:rPr>
              <w:t>$630M</w:t>
            </w:r>
          </w:p>
        </w:tc>
        <w:tc>
          <w:tcPr>
            <w:tcW w:type="dxa" w:w="1080"/>
          </w:tcPr>
          <w:p>
            <w:r>
              <w:rPr>
                <w:rFonts w:ascii="Calibri" w:hAnsi="Calibri"/>
                <w:sz w:val="22"/>
              </w:rPr>
              <w:t>$628M</w:t>
            </w:r>
          </w:p>
        </w:tc>
        <w:tc>
          <w:tcPr>
            <w:tcW w:type="dxa" w:w="1080"/>
          </w:tcPr>
          <w:p>
            <w:r>
              <w:rPr>
                <w:rFonts w:ascii="Calibri" w:hAnsi="Calibri"/>
                <w:sz w:val="22"/>
              </w:rPr>
              <w:t>-0.3%</w:t>
            </w:r>
          </w:p>
        </w:tc>
        <w:tc>
          <w:tcPr>
            <w:tcW w:type="dxa" w:w="1080"/>
          </w:tcPr>
          <w:p>
            <w:r>
              <w:rPr>
                <w:rFonts w:ascii="Calibri" w:hAnsi="Calibri"/>
                <w:sz w:val="22"/>
              </w:rPr>
              <w:t>No Q-specific guide</w:t>
            </w:r>
          </w:p>
        </w:tc>
        <w:tc>
          <w:tcPr>
            <w:tcW w:type="dxa" w:w="1080"/>
          </w:tcPr>
          <w:p>
            <w:r>
              <w:rPr>
                <w:rFonts w:ascii="Calibri" w:hAnsi="Calibri"/>
                <w:sz w:val="22"/>
              </w:rPr>
              <w:t>No Q-specific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FCF (FY 2026)</w:t>
            </w:r>
          </w:p>
        </w:tc>
        <w:tc>
          <w:tcPr>
            <w:tcW w:type="dxa" w:w="1080"/>
          </w:tcPr>
          <w:p>
            <w:r>
              <w:rPr>
                <w:rFonts w:ascii="Calibri" w:hAnsi="Calibri"/>
                <w:sz w:val="22"/>
              </w:rPr>
              <w:t>$2.649B</w:t>
            </w:r>
          </w:p>
        </w:tc>
        <w:tc>
          <w:tcPr>
            <w:tcW w:type="dxa" w:w="1080"/>
          </w:tcPr>
          <w:p>
            <w:r>
              <w:rPr>
                <w:rFonts w:ascii="Calibri" w:hAnsi="Calibri"/>
                <w:sz w:val="22"/>
              </w:rPr>
              <w:t>$2.641B</w:t>
            </w:r>
          </w:p>
        </w:tc>
        <w:tc>
          <w:tcPr>
            <w:tcW w:type="dxa" w:w="1080"/>
          </w:tcPr>
          <w:p>
            <w:r>
              <w:rPr>
                <w:rFonts w:ascii="Calibri" w:hAnsi="Calibri"/>
                <w:sz w:val="22"/>
              </w:rPr>
              <w:t>-0.3%</w:t>
            </w:r>
          </w:p>
        </w:tc>
        <w:tc>
          <w:tcPr>
            <w:tcW w:type="dxa" w:w="1080"/>
          </w:tcPr>
          <w:p>
            <w:r>
              <w:rPr>
                <w:rFonts w:ascii="Calibri" w:hAnsi="Calibri"/>
                <w:sz w:val="22"/>
              </w:rPr>
              <w:t>$2.55–$2.65B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At high end of range</w:t>
            </w:r>
          </w:p>
        </w:tc>
      </w:tr>
    </w:tbl>
    <w:p>
      <w:r>
        <w:rPr>
          <w:rFonts w:ascii="Calibri" w:hAnsi="Calibri"/>
          <w:color w:val="525866"/>
          <w:sz w:val="22"/>
        </w:rPr>
        <w:t>Estimates are tracking guidance tightly with virtually no revision since the Q1 print. FY 2026 consensus sits marginally above the top end of EPS guidance ($7.30 vs. $7.28 guide top), suggesting the Street is embedding a small beat on the full year. The absence of downward revisions despite macro uncertainty (tariffs, fuel costs) is a mild positive signal. Source: Visible Alpha Consensus and Actuals Data; post-Q1 baseline as of May 14, 2026 (5 trading days post-earnings).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RSG has underperformed WM by ~10 points since Q1 earnings (RSG +2.7% vs. WM +1.3% on an indexed basis from May 7 close), with both lagging the S&amp;P 500 which rallied ~5% over the same period. </w:t>
      </w:r>
      <w:r>
        <w:rPr>
          <w:rFonts w:ascii="Calibri" w:hAnsi="Calibri"/>
          <w:b/>
          <w:color w:val="525866"/>
          <w:sz w:val="22"/>
        </w:rPr>
        <w:t>RSG’s relative underperformance vs. WM appears sentiment/multiple-driven</w:t>
      </w:r>
      <w:r>
        <w:rPr>
          <w:rFonts w:ascii="Calibri" w:hAnsi="Calibri"/>
          <w:color w:val="525866"/>
          <w:sz w:val="22"/>
        </w:rPr>
        <w:t xml:space="preserve"> rather than fundamental, as WM’s Q2 2026 beat-and-raise (reported July 28) created a divergence that RSG’s own print could partially close.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RSG vs. WM vs. S&amp;P 500 (SPY) — Indexed to 100 at May 7, 2026 (Q1 2026 Earnings Date). Source: Yahoo Finance / Stock Price Data.</w:t>
      </w:r>
    </w:p>
    <w:p>
      <w:r>
        <w:rPr>
          <w:rFonts w:ascii="Calibri" w:hAnsi="Calibri"/>
          <w:color w:val="525866"/>
          <w:sz w:val="22"/>
        </w:rPr>
        <w:t>Since the Q1 2026 earnings close (May 7, $201.55), RSG traded as high as ~$224 in mid-July before pulling back to ~$207 as of August 5. The stock initially rallied ~7% in the two weeks post-earnings on the guidance reaffirmation and green shoots commentary, then gave back gains through late May/early June as macro uncertainty weighed on the sector. A second leg higher in late June/early July coincided with the sector rally and RSG’s $1.2B senior notes offering (June 23), which signaled continued M&amp;A appetite. WM’s strong Q2 2026 print (July 28 — beat-and-raise, margin guidance raised 20 bps) briefly lifted the sector but RSG has since pulled back, creating a modest setup where a clean Q2 beat could re-rate the stock toward the $220–$225 range. The average analyst price target is ~$244 (22 analysts, 11 Buy / 11 Hold), implying ~18% upside from current levels. Citigroup raised its target to $259 (Buy) on July 10; UBS cut to $223 (Neutral) on May 12; Argus downgraded to Hold on May 11.</w:t>
      </w:r>
    </w:p>
    <w:p>
      <w:r>
        <w:br w:type="page"/>
      </w:r>
    </w:p>
    <w:p>
      <w:pPr>
        <w:pStyle w:val="Heading1"/>
        <w:pBdr>
          <w:bottom w:val="single" w:sz="4" w:space="1" w:color="FB9120"/>
        </w:pBdr>
      </w:pPr>
      <w:r>
        <w:rPr>
          <w:rFonts w:ascii="Calibri" w:hAnsi="Calibri"/>
          <w:b/>
          <w:color w:val="3B4259"/>
          <w:sz w:val="40"/>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(WM, WCN, GFL, CLH) collectively signal </w:t>
      </w:r>
      <w:r>
        <w:rPr>
          <w:rFonts w:ascii="Calibri" w:hAnsi="Calibri"/>
          <w:b/>
          <w:color w:val="525866"/>
          <w:sz w:val="22"/>
        </w:rPr>
        <w:t>strong pricing discipline (5.5–6.1% core price across the group), continued volume softness from macro/construction headwinds, and improving special waste/hazardous waste demand</w:t>
      </w:r>
      <w:r>
        <w:rPr>
          <w:rFonts w:ascii="Calibri" w:hAnsi="Calibri"/>
          <w:color w:val="525866"/>
          <w:sz w:val="22"/>
        </w:rPr>
        <w:t xml:space="preserve"> — all of which are constructive read-throughs for RSG’s Q2 print and H2 outlook.</w:t>
      </w:r>
    </w:p>
    <w:p>
      <w:pPr>
        <w:pStyle w:val="Heading2"/>
      </w:pPr>
      <w:r>
        <w:rPr>
          <w:rFonts w:ascii="Calibri" w:hAnsi="Calibri"/>
          <w:b/>
          <w:color w:val="3B4259"/>
          <w:sz w:val="28"/>
        </w:rPr>
        <w:t>Waste Management (WM) — Q2 2026 (Reported July 28, 2026)</w:t>
      </w:r>
    </w:p>
    <w:p>
      <w:r>
        <w:rPr>
          <w:rFonts w:ascii="Calibri" w:hAnsi="Calibri"/>
          <w:b/>
          <w:color w:val="525866"/>
          <w:sz w:val="22"/>
        </w:rPr>
        <w:t xml:space="preserve">Pricing &amp; Yield: </w:t>
      </w:r>
      <w:r>
        <w:rPr>
          <w:rFonts w:ascii="Calibri" w:hAnsi="Calibri"/>
          <w:color w:val="525866"/>
          <w:sz w:val="22"/>
        </w:rPr>
        <w:t>Both core price and yield exceeded WM’s own expectations in Q2, with core price expected to exit 2026 above 5.5% and collection/disposal yield tracking toward the high end of guidance. This is a direct positive read-through for RSG’s pricing trajectory — if the industry leader is beating on price, RSG’s 5.3% consensus core price estimate for Q2 may prove conservative.</w:t>
      </w:r>
    </w:p>
    <w:p>
      <w:r>
        <w:rPr>
          <w:rFonts w:ascii="Calibri" w:hAnsi="Calibri"/>
          <w:b/>
          <w:color w:val="525866"/>
          <w:sz w:val="22"/>
        </w:rPr>
        <w:t xml:space="preserve">Volume &amp; Macro: </w:t>
      </w:r>
      <w:r>
        <w:rPr>
          <w:rFonts w:ascii="Calibri" w:hAnsi="Calibri"/>
          <w:color w:val="525866"/>
          <w:sz w:val="22"/>
        </w:rPr>
        <w:t>WM reported collection/disposal volumes down 0.4% ex-wildfire impacts, with overall volumes “softer than anticipated.” Residential volume declines improved 200 bps sequentially to -2.9%. WM guided for volumes to be “relatively flat” in H2, resulting in a full-year decline approaching 1% (or ~50 bps ex-wildfire). This is broadly consistent with RSG’s own volume guidance (negative Q2/Q3, positive Q4) and suggests the volume headwind is industry-wide, not RSG-specific. WM noted roll-off volumes were up 50 bps over the last four weeks vs. prior year — a mild positive signal for RSG’s large container business.</w:t>
      </w:r>
    </w:p>
    <w:p>
      <w:r>
        <w:rPr>
          <w:rFonts w:ascii="Calibri" w:hAnsi="Calibri"/>
          <w:b/>
          <w:color w:val="525866"/>
          <w:sz w:val="22"/>
        </w:rPr>
        <w:t xml:space="preserve">Margins: </w:t>
      </w:r>
      <w:r>
        <w:rPr>
          <w:rFonts w:ascii="Calibri" w:hAnsi="Calibri"/>
          <w:color w:val="525866"/>
          <w:sz w:val="22"/>
        </w:rPr>
        <w:t>WM expanded EBITDA margin 40 bps despite a 60 bps wildfire headwind and 40 bps energy surcharge headwind, and raised full-year margin guidance by 20 bps to 31.0–31.2%. This is a strong read-through for RSG’s underlying margin discipline — if WM can expand margins through these headwinds, RSG’s “flat-to-slightly-down” Q2 margin guide may prove conservative on the underlying business.</w:t>
      </w:r>
    </w:p>
    <w:p>
      <w:r>
        <w:rPr>
          <w:rFonts w:ascii="Calibri" w:hAnsi="Calibri"/>
          <w:b/>
          <w:color w:val="525866"/>
          <w:sz w:val="22"/>
        </w:rPr>
        <w:t xml:space="preserve">Special Waste: </w:t>
      </w:r>
      <w:r>
        <w:rPr>
          <w:rFonts w:ascii="Calibri" w:hAnsi="Calibri"/>
          <w:color w:val="525866"/>
          <w:sz w:val="22"/>
        </w:rPr>
        <w:t>Special waste volumes increased 4.5% ex-wildfire activity, and industrial collection volumes showed modest growth. This is a positive read-through for RSG’s special waste line, which grew 9.9% YoY in Q1 2026 and is a key driver of the ES recovery narrative.</w:t>
      </w:r>
    </w:p>
    <w:p>
      <w:r>
        <w:rPr>
          <w:rFonts w:ascii="Calibri" w:hAnsi="Calibri"/>
          <w:b/>
          <w:color w:val="525866"/>
          <w:sz w:val="22"/>
        </w:rPr>
        <w:t xml:space="preserve">Health Care Solutions (ES analog): </w:t>
      </w:r>
      <w:r>
        <w:rPr>
          <w:rFonts w:ascii="Calibri" w:hAnsi="Calibri"/>
          <w:color w:val="525866"/>
          <w:sz w:val="22"/>
        </w:rPr>
        <w:t>WM’s Health Care Solutions segment (acquired Stericycle) expanded EBITDA margin 200 bps to 19% in Q2, with momentum building in H2. Cross-selling generated $32M of annual EBITDA to date. While not a direct comp to RSG’s ES business, the improving trajectory of a recently-integrated environmental/specialty services segment is a positive sector read-through.</w:t>
      </w:r>
    </w:p>
    <w:p>
      <w:r>
        <w:rPr>
          <w:rFonts w:ascii="Calibri" w:hAnsi="Calibri"/>
          <w:b/>
          <w:color w:val="525866"/>
          <w:sz w:val="22"/>
        </w:rPr>
        <w:t xml:space="preserve">Recycling: </w:t>
      </w:r>
      <w:r>
        <w:rPr>
          <w:rFonts w:ascii="Calibri" w:hAnsi="Calibri"/>
          <w:color w:val="525866"/>
          <w:sz w:val="22"/>
        </w:rPr>
        <w:t>WM processed 12% more recyclables YoY in Q2, with combined recycling and renewable energy EBITDA growing nearly 33% and contributing 30 bps of margin uplift. Commodity prices were down YoY but WM noted prices “creeping up” in H2 with positive movement on plastics — a mild positive for RSG’s polymer centers.</w:t>
      </w:r>
    </w:p>
    <w:p>
      <w:r>
        <w:rPr>
          <w:rFonts w:ascii="Calibri" w:hAnsi="Calibri"/>
          <w:b/>
          <w:color w:val="525866"/>
          <w:sz w:val="22"/>
        </w:rPr>
        <w:t xml:space="preserve">Guidance: </w:t>
      </w:r>
      <w:r>
        <w:rPr>
          <w:rFonts w:ascii="Calibri" w:hAnsi="Calibri"/>
          <w:color w:val="525866"/>
          <w:sz w:val="22"/>
        </w:rPr>
        <w:t>WM narrowed full-year revenue guidance by ~0.5% (softer volumes, lower recycling brokerage, RNG timing) but maintained EBITDA and FCF guidance and raised margin guidance. The revenue narrowing is a mild caution for RSG’s revenue line, but the margin/FCF maintenance is constructive.</w:t>
      </w:r>
    </w:p>
    <w:p>
      <w:pPr>
        <w:pStyle w:val="Heading2"/>
      </w:pPr>
      <w:r>
        <w:rPr>
          <w:rFonts w:ascii="Calibri" w:hAnsi="Calibri"/>
          <w:b/>
          <w:color w:val="3B4259"/>
          <w:sz w:val="28"/>
        </w:rPr>
        <w:t>Waste Connections (WCN) — Q2 2026 (Reported July 22, 2026)</w:t>
      </w:r>
    </w:p>
    <w:p>
      <w:r>
        <w:rPr>
          <w:rFonts w:ascii="Calibri" w:hAnsi="Calibri"/>
          <w:b/>
          <w:color w:val="525866"/>
          <w:sz w:val="22"/>
        </w:rPr>
        <w:t xml:space="preserve">Pricing &amp; Yield: </w:t>
      </w:r>
      <w:r>
        <w:rPr>
          <w:rFonts w:ascii="Calibri" w:hAnsi="Calibri"/>
          <w:color w:val="525866"/>
          <w:sz w:val="22"/>
        </w:rPr>
        <w:t>WCN reported solid waste organic price growth of 6.7% (core price 5.6% + fuel/material surcharges 1.1%), which outpaced expectations. Yield was 4.6%, consistent with Q1, reflecting benefits from WCN’s AI price optimization tool deployed in late 2025. WCN remains on track for full-year core price at or above 5.5%. This is a strong read-through for RSG’s pricing — both companies are deploying AI pricing tools and seeing similar yield dynamics.</w:t>
      </w:r>
    </w:p>
    <w:p>
      <w:r>
        <w:rPr>
          <w:rFonts w:ascii="Calibri" w:hAnsi="Calibri"/>
          <w:b/>
          <w:color w:val="525866"/>
          <w:sz w:val="22"/>
        </w:rPr>
        <w:t xml:space="preserve">Volume &amp; Construction: </w:t>
      </w:r>
      <w:r>
        <w:rPr>
          <w:rFonts w:ascii="Calibri" w:hAnsi="Calibri"/>
          <w:color w:val="525866"/>
          <w:sz w:val="22"/>
        </w:rPr>
        <w:t>WCN volumes were down 1.9% in Q2, attributed to macro uncertainty. Roll-off pulls were down 2% in all regions except the West, reflecting sluggish construction activity. However, C&amp;D tons were up 1% YoY for the first time in ten quarters, led by a 10% increase in the central region — a potentially important inflection signal for RSG’s large container and landfill volumes. WCN noted “an accelerating pickup in rental equipment and construction-related equipment demand” from other industrial service providers, which could be a leading indicator for waste volumes.</w:t>
      </w:r>
    </w:p>
    <w:p>
      <w:r>
        <w:rPr>
          <w:rFonts w:ascii="Calibri" w:hAnsi="Calibri"/>
          <w:b/>
          <w:color w:val="525866"/>
          <w:sz w:val="22"/>
        </w:rPr>
        <w:t xml:space="preserve">Special Waste: </w:t>
      </w:r>
      <w:r>
        <w:rPr>
          <w:rFonts w:ascii="Calibri" w:hAnsi="Calibri"/>
          <w:color w:val="525866"/>
          <w:sz w:val="22"/>
        </w:rPr>
        <w:t>Special waste volumes were down YoY in Q2 at WCN, but activity in July was “impressive,” suggesting the slowdown may be temporary. This is a nuanced read-through for RSG — Q2 special waste may be softer than Q1’s 9.9% growth, but July momentum is encouraging for the H2 narrative.</w:t>
      </w:r>
    </w:p>
    <w:p>
      <w:r>
        <w:rPr>
          <w:rFonts w:ascii="Calibri" w:hAnsi="Calibri"/>
          <w:b/>
          <w:color w:val="525866"/>
          <w:sz w:val="22"/>
        </w:rPr>
        <w:t xml:space="preserve">Fuel &amp; Surcharges: </w:t>
      </w:r>
      <w:r>
        <w:rPr>
          <w:rFonts w:ascii="Calibri" w:hAnsi="Calibri"/>
          <w:color w:val="525866"/>
          <w:sz w:val="22"/>
        </w:rPr>
        <w:t>WCN noted that elevated fuel costs impacted construction activity and likely exacerbated customer churn (estimated 10–15 bps of incremental volume churn in Q2). WCN believes “the most challenging quarter for fuel recovery is behind us” — a positive read-through for RSG, which guided for fuel recovery fees to offset higher fuel costs beginning in Q2.</w:t>
      </w:r>
    </w:p>
    <w:p>
      <w:r>
        <w:rPr>
          <w:rFonts w:ascii="Calibri" w:hAnsi="Calibri"/>
          <w:b/>
          <w:color w:val="525866"/>
          <w:sz w:val="22"/>
        </w:rPr>
        <w:t xml:space="preserve">Guidance: </w:t>
      </w:r>
      <w:r>
        <w:rPr>
          <w:rFonts w:ascii="Calibri" w:hAnsi="Calibri"/>
          <w:color w:val="525866"/>
          <w:sz w:val="22"/>
        </w:rPr>
        <w:t>WCN raised full-year 2026 guidance: revenue to $10.02–$10.05B (up $100–$120M), adjusted EBITDA to $3.33–$3.34B (up from $3.30–$3.325B), with H2 EBITDA margin expected to average ~33.7% and potentially exceed 34% in Q3. The raise was driven by strong H1 performance, improving commodity prices, and RNG contributions. This is a positive read-through for RSG’s ability to reaffirm or potentially raise FY guidance.</w:t>
      </w:r>
    </w:p>
    <w:p>
      <w:r>
        <w:rPr>
          <w:rFonts w:ascii="Calibri" w:hAnsi="Calibri"/>
          <w:b/>
          <w:color w:val="525866"/>
          <w:sz w:val="22"/>
        </w:rPr>
        <w:t xml:space="preserve">AI &amp; Technology: </w:t>
      </w:r>
      <w:r>
        <w:rPr>
          <w:rFonts w:ascii="Calibri" w:hAnsi="Calibri"/>
          <w:color w:val="525866"/>
          <w:sz w:val="22"/>
        </w:rPr>
        <w:t>WCN’s AI pricing tool has yielded ~$20M of EBITDA improvement on a run-rate basis through 2026, with routing AI expected to generate $40–50M in savings in 2028–29. This validates RSG’s own digital/AI investment thesis ($100M+ annual benefit by 2028) and suggests the market is beginning to price in AI-driven margin expansion across the sector.</w:t>
      </w:r>
    </w:p>
    <w:p>
      <w:pPr>
        <w:pStyle w:val="Heading2"/>
      </w:pPr>
      <w:r>
        <w:rPr>
          <w:rFonts w:ascii="Calibri" w:hAnsi="Calibri"/>
          <w:b/>
          <w:color w:val="3B4259"/>
          <w:sz w:val="28"/>
        </w:rPr>
        <w:t>GFL Environmental (GFL) — Q2 2026 (Reported July 29, 2026)</w:t>
      </w:r>
    </w:p>
    <w:p>
      <w:r>
        <w:rPr>
          <w:rFonts w:ascii="Calibri" w:hAnsi="Calibri"/>
          <w:b/>
          <w:color w:val="525866"/>
          <w:sz w:val="22"/>
        </w:rPr>
        <w:t xml:space="preserve">Pricing: </w:t>
      </w:r>
      <w:r>
        <w:rPr>
          <w:rFonts w:ascii="Calibri" w:hAnsi="Calibri"/>
          <w:color w:val="525866"/>
          <w:sz w:val="22"/>
        </w:rPr>
        <w:t>GFL reported price growth of 6.1% in Q2, 20 bps better than plan, driven by accelerated realization of pricing opportunities including incremental fuel surcharges. Full-year pricing is now expected to be nearly 50 bps better than the original guide, with the new full-year assumption at just over 6%. GFL noted the industry is “very disciplined” and focused on returns on invested capital — a consistent read-through for RSG’s pricing power narrative.</w:t>
      </w:r>
    </w:p>
    <w:p>
      <w:r>
        <w:rPr>
          <w:rFonts w:ascii="Calibri" w:hAnsi="Calibri"/>
          <w:b/>
          <w:color w:val="525866"/>
          <w:sz w:val="22"/>
        </w:rPr>
        <w:t xml:space="preserve">Volume &amp; Construction: </w:t>
      </w:r>
      <w:r>
        <w:rPr>
          <w:rFonts w:ascii="Calibri" w:hAnsi="Calibri"/>
          <w:color w:val="525866"/>
          <w:sz w:val="22"/>
        </w:rPr>
        <w:t>GFL’s Q2 volume was almost 100 bps better than planned, but external C&amp;D and special waste landfill tons were down 10% in the quarter. GFL now expects C&amp;D-related trends to persist for the balance of the year and updated full-year volume guidance to approximately -50 bps (from +25 bps originally). This is a mild caution for RSG’s landfill and large container volumes, though GFL’s Canadian market mix makes it a less direct comp.</w:t>
      </w:r>
    </w:p>
    <w:p>
      <w:r>
        <w:rPr>
          <w:rFonts w:ascii="Calibri" w:hAnsi="Calibri"/>
          <w:b/>
          <w:color w:val="525866"/>
          <w:sz w:val="22"/>
        </w:rPr>
        <w:t xml:space="preserve">Margins: </w:t>
      </w:r>
      <w:r>
        <w:rPr>
          <w:rFonts w:ascii="Calibri" w:hAnsi="Calibri"/>
          <w:color w:val="525866"/>
          <w:sz w:val="22"/>
        </w:rPr>
        <w:t>GFL’s consolidated adjusted EBITDA margins organically increased 35 bps YoY despite Q2 2025 being the highest Q2 margins in company history. Excluding fuel and M&amp;A impacts, underlying Q2 margins were up 125 bps. GFL raised full-year EBITDA margin guidance by 10 bps to 30.5%, noting that absent elevated diesel prices, margins would have exceeded 31%. This is a strong read-through for RSG’s underlying margin discipline.</w:t>
      </w:r>
    </w:p>
    <w:p>
      <w:r>
        <w:rPr>
          <w:rFonts w:ascii="Calibri" w:hAnsi="Calibri"/>
          <w:b/>
          <w:color w:val="525866"/>
          <w:sz w:val="22"/>
        </w:rPr>
        <w:t xml:space="preserve">Commodity Prices: </w:t>
      </w:r>
      <w:r>
        <w:rPr>
          <w:rFonts w:ascii="Calibri" w:hAnsi="Calibri"/>
          <w:color w:val="525866"/>
          <w:sz w:val="22"/>
        </w:rPr>
        <w:t>GFL noted commodity prices were $12/tonne higher than its Q2 guide, with current market pricing up another $13 over the Q2 average. If pricing holds, Q3 should be ~20% better than prior year. This is a positive read-through for RSG’s recycling business, where commodity prices were $120/ton in Q1 (vs. $155 prior year) and had recovered to ~$125/ton by the Q1 call.</w:t>
      </w:r>
    </w:p>
    <w:p>
      <w:r>
        <w:rPr>
          <w:rFonts w:ascii="Calibri" w:hAnsi="Calibri"/>
          <w:b/>
          <w:color w:val="525866"/>
          <w:sz w:val="22"/>
        </w:rPr>
        <w:t xml:space="preserve">Guidance: </w:t>
      </w:r>
      <w:r>
        <w:rPr>
          <w:rFonts w:ascii="Calibri" w:hAnsi="Calibri"/>
          <w:color w:val="525866"/>
          <w:sz w:val="22"/>
        </w:rPr>
        <w:t>GFL raised full-year 2026 guidance for the second time this year: revenue to $7.52B, adjusted EBITDA to $2.29B, adjusted FCF to $900M. The company expects over 15% EBITDA growth and nearly 20% FCF growth YoY. This is the strongest guidance raise among peers and is a positive read-through for sector confidence heading into RSG’s print.</w:t>
      </w:r>
    </w:p>
    <w:p>
      <w:pPr>
        <w:pStyle w:val="Heading2"/>
      </w:pPr>
      <w:r>
        <w:rPr>
          <w:rFonts w:ascii="Calibri" w:hAnsi="Calibri"/>
          <w:b/>
          <w:color w:val="3B4259"/>
          <w:sz w:val="28"/>
        </w:rPr>
        <w:t>Clean Harbors (CLH) — Q2 2026 (Reported July 29, 2026)</w:t>
      </w:r>
    </w:p>
    <w:p>
      <w:r>
        <w:rPr>
          <w:rFonts w:ascii="Calibri" w:hAnsi="Calibri"/>
          <w:b/>
          <w:color w:val="525866"/>
          <w:sz w:val="22"/>
        </w:rPr>
        <w:t xml:space="preserve">Environmental Services Demand: </w:t>
      </w:r>
      <w:r>
        <w:rPr>
          <w:rFonts w:ascii="Calibri" w:hAnsi="Calibri"/>
          <w:color w:val="525866"/>
          <w:sz w:val="22"/>
        </w:rPr>
        <w:t>CLH reported its 17th consecutive quarter of YoY EBITDA margin improvement in Environmental Services, with incineration utilization at 91% (vs. 86% a year ago) and landfill volumes up 7%. CLH noted “scarcity of disposal capacity across the industry” and a pipeline that “continues to grow with no signs of slowing.” This is a strong positive read-through for RSG’s Environmental Solutions business, which is expected to inflect to YoY revenue growth in H2 2026.</w:t>
      </w:r>
    </w:p>
    <w:p>
      <w:r>
        <w:rPr>
          <w:rFonts w:ascii="Calibri" w:hAnsi="Calibri"/>
          <w:b/>
          <w:color w:val="525866"/>
          <w:sz w:val="22"/>
        </w:rPr>
        <w:t xml:space="preserve">Special Waste &amp; PFAS: </w:t>
      </w:r>
      <w:r>
        <w:rPr>
          <w:rFonts w:ascii="Calibri" w:hAnsi="Calibri"/>
          <w:color w:val="525866"/>
          <w:sz w:val="22"/>
        </w:rPr>
        <w:t>CLH’s Technical Services revenue grew 18% on strong demand for disposal and recycling services. PFAS business is now growing 30%+ YoY (vs. prior expectation of 20%), with a large PFAS filtration project generating &gt;$30M of Q2 revenue. The DoD lifting its moratorium on incineration for PFAS is a significant long-term catalyst. While RSG is not a direct PFAS play, the strong hazardous/special waste demand environment is a positive read-through for RSG’s ES pipeline.</w:t>
      </w:r>
    </w:p>
    <w:p>
      <w:r>
        <w:rPr>
          <w:rFonts w:ascii="Calibri" w:hAnsi="Calibri"/>
          <w:b/>
          <w:color w:val="525866"/>
          <w:sz w:val="22"/>
        </w:rPr>
        <w:t xml:space="preserve">Record June Volumes: </w:t>
      </w:r>
      <w:r>
        <w:rPr>
          <w:rFonts w:ascii="Calibri" w:hAnsi="Calibri"/>
          <w:color w:val="525866"/>
          <w:sz w:val="22"/>
        </w:rPr>
        <w:t>CLH noted it “came out of a record June” for volumes, with drum/containerized waste business growing in both its Clean Harbors and Safety-Kleen Environmental businesses. This is a direct positive read-through for RSG’s special waste and ES volumes in Q2 — if June was a record for CLH, RSG’s ES pipeline momentum may have accelerated into quarter-end.</w:t>
      </w:r>
    </w:p>
    <w:p>
      <w:r>
        <w:rPr>
          <w:rFonts w:ascii="Calibri" w:hAnsi="Calibri"/>
          <w:b/>
          <w:color w:val="525866"/>
          <w:sz w:val="22"/>
        </w:rPr>
        <w:t xml:space="preserve">Reshoring &amp; Manufacturing: </w:t>
      </w:r>
      <w:r>
        <w:rPr>
          <w:rFonts w:ascii="Calibri" w:hAnsi="Calibri"/>
          <w:color w:val="525866"/>
          <w:sz w:val="22"/>
        </w:rPr>
        <w:t>CLH highlighted two key trends: expansion of U.S. manufacturing related to reshoring (semiconductors, pharma, aluminum) and customers seeking a single provider for all regulated waste needs. CLH won a 10-year, $600M disposal contract with a manufacturing customer expanding U.S. operations. This is a positive read-through for RSG’s ES business, which serves industrial/manufacturing customers and is positioned to benefit from reshoring-driven waste generation.</w:t>
      </w:r>
    </w:p>
    <w:p>
      <w:r>
        <w:rPr>
          <w:rFonts w:ascii="Calibri" w:hAnsi="Calibri"/>
          <w:b/>
          <w:color w:val="525866"/>
          <w:sz w:val="22"/>
        </w:rPr>
        <w:t xml:space="preserve">Guidance: </w:t>
      </w:r>
      <w:r>
        <w:rPr>
          <w:rFonts w:ascii="Calibri" w:hAnsi="Calibri"/>
          <w:color w:val="525866"/>
          <w:sz w:val="22"/>
        </w:rPr>
        <w:t>CLH raised 2026 adjusted EBITDA guidance by $110M to a range of $1.35–$1.41B (midpoint $1.38B), implying ~18% growth vs. 2025. The SCS segment (re-refined oil) is now expected to deliver ~$275M of EBITDA (double 2025), driven by global supply disruptions creating domestic market scarcity. The ES segment is expected to grow 6–9% for the year with 30–40 bps of incremental margin expansion. This is the most aggressive guidance raise in the peer group and signals strong environmental services demand broadly.</w:t>
      </w:r>
    </w:p>
    <w:p>
      <w:r>
        <w:rPr>
          <w:rFonts w:ascii="Calibri" w:hAnsi="Calibri"/>
          <w:b/>
          <w:color w:val="525866"/>
          <w:sz w:val="22"/>
        </w:rPr>
        <w:t xml:space="preserve">RSG Read-Through Summary: </w:t>
      </w:r>
      <w:r>
        <w:rPr>
          <w:rFonts w:ascii="Calibri" w:hAnsi="Calibri"/>
          <w:color w:val="525866"/>
          <w:sz w:val="22"/>
        </w:rPr>
        <w:t>Across all four peers, the consistent themes are: (1) pricing remains strong and is beating expectations; (2) volumes are soft but stabilizing, with C&amp;D showing early signs of inflection; (3) special waste and hazardous waste demand is robust, with record activity in June; (4) margins are expanding on underlying business despite fuel headwinds; and (5) all peers raised or maintained full-year guidance. These are collectively constructive read-throughs for RSG’s Q2 print and H2 outlook, particularly for the ES recovery narrative and special waste momentum.</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$1.2B senior notes offering (June 23)</w:t>
      </w:r>
      <w:r>
        <w:rPr>
          <w:rFonts w:ascii="Calibri" w:hAnsi="Calibri"/>
          <w:color w:val="525866"/>
          <w:sz w:val="22"/>
        </w:rPr>
        <w:t>, which signals RSG is actively funding its &gt;$1B acquisition target for 2026 and reinforces the M&amp;A-driven growth narrative heading into the print. Peer Q2 results (WM, WCN, GFL, CLH) are broadly constructive read-throughs for RSG’s Q2 setup.</w:t>
      </w:r>
    </w:p>
    <w:p>
      <w:pPr>
        <w:pStyle w:val="ListBullet"/>
        <w:ind w:left="360" w:hanging="360"/>
      </w:pPr>
      <w:r>
        <w:rPr>
          <w:rFonts w:ascii="Calibri" w:hAnsi="Calibri"/>
          <w:b/>
          <w:color w:val="525866"/>
          <w:sz w:val="22"/>
        </w:rPr>
        <w:t xml:space="preserve">July 28, 2026 — Dividend Increase (+$0.045/share to $0.670/quarter): </w:t>
      </w:r>
      <w:r>
        <w:rPr>
          <w:rFonts w:ascii="Calibri" w:hAnsi="Calibri"/>
          <w:color w:val="525866"/>
          <w:sz w:val="22"/>
        </w:rPr>
        <w:t>RSG’s Board approved a 7.2% increase in the quarterly dividend, payable October 15, 2026. Signals management confidence in FCF generation and capital return capacity. Implication: Positive signal on FCF trajectory; consistent with full-year FCF guidance of $2.55–$2.65B.</w:t>
      </w:r>
    </w:p>
    <w:p>
      <w:pPr>
        <w:pStyle w:val="ListBullet"/>
        <w:ind w:left="360" w:hanging="360"/>
      </w:pPr>
      <w:r>
        <w:rPr>
          <w:rFonts w:ascii="Calibri" w:hAnsi="Calibri"/>
          <w:b/>
          <w:color w:val="525866"/>
          <w:sz w:val="22"/>
        </w:rPr>
        <w:t xml:space="preserve">July 29, 2026 — GFL Environmental Q2 2026 Beat-and-Raise: </w:t>
      </w:r>
      <w:r>
        <w:rPr>
          <w:rFonts w:ascii="Calibri" w:hAnsi="Calibri"/>
          <w:color w:val="525866"/>
          <w:sz w:val="22"/>
        </w:rPr>
        <w:t>GFL raised full-year guidance for the second time in 2026, citing strong pricing (+6.1%), improving commodity prices, and ES record performance. Implication: Positive sector read-through; validates RSG’s pricing and ES recovery narrative.</w:t>
      </w:r>
    </w:p>
    <w:p>
      <w:pPr>
        <w:pStyle w:val="ListBullet"/>
        <w:ind w:left="360" w:hanging="360"/>
      </w:pPr>
      <w:r>
        <w:rPr>
          <w:rFonts w:ascii="Calibri" w:hAnsi="Calibri"/>
          <w:b/>
          <w:color w:val="525866"/>
          <w:sz w:val="22"/>
        </w:rPr>
        <w:t xml:space="preserve">July 28–29, 2026 — WM Q2 2026 Beat-and-Raise: </w:t>
      </w:r>
      <w:r>
        <w:rPr>
          <w:rFonts w:ascii="Calibri" w:hAnsi="Calibri"/>
          <w:color w:val="525866"/>
          <w:sz w:val="22"/>
        </w:rPr>
        <w:t>WM raised full-year EBITDA margin guidance by 20 bps, reported special waste volumes up 4.5% ex-wildfire, and noted roll-off volumes up 50 bps in recent weeks. Implication: Strong positive read-through for RSG’s pricing, special waste, and margin discipline.</w:t>
      </w:r>
    </w:p>
    <w:p>
      <w:pPr>
        <w:pStyle w:val="ListBullet"/>
        <w:ind w:left="360" w:hanging="360"/>
      </w:pPr>
      <w:r>
        <w:rPr>
          <w:rFonts w:ascii="Calibri" w:hAnsi="Calibri"/>
          <w:b/>
          <w:color w:val="525866"/>
          <w:sz w:val="22"/>
        </w:rPr>
        <w:t xml:space="preserve">July 29, 2026 — CLH Q2 2026 Beat-and-Raise (+$110M EBITDA guidance): </w:t>
      </w:r>
      <w:r>
        <w:rPr>
          <w:rFonts w:ascii="Calibri" w:hAnsi="Calibri"/>
          <w:color w:val="525866"/>
          <w:sz w:val="22"/>
        </w:rPr>
        <w:t>Clean Harbors raised 2026 EBITDA guidance by $110M, citing record June volumes, PFAS demand acceleration (30%+ growth), and a $600M 10-year manufacturing disposal contract. Implication: Strongest positive read-through for RSG’s ES business; hazardous/special waste demand is robust.</w:t>
      </w:r>
    </w:p>
    <w:p>
      <w:pPr>
        <w:pStyle w:val="ListBullet"/>
        <w:ind w:left="360" w:hanging="360"/>
      </w:pPr>
      <w:r>
        <w:rPr>
          <w:rFonts w:ascii="Calibri" w:hAnsi="Calibri"/>
          <w:b/>
          <w:color w:val="525866"/>
          <w:sz w:val="22"/>
        </w:rPr>
        <w:t xml:space="preserve">July 22, 2026 — WCN Q2 2026 Beat-and-Raise: </w:t>
      </w:r>
      <w:r>
        <w:rPr>
          <w:rFonts w:ascii="Calibri" w:hAnsi="Calibri"/>
          <w:color w:val="525866"/>
          <w:sz w:val="22"/>
        </w:rPr>
        <w:t>Waste Connections raised full-year revenue and EBITDA guidance, noted C&amp;D tons up 1% YoY for the first time in 10 quarters, and flagged impressive July special waste activity. Implication: Positive read-through for RSG’s large container and landfill volumes; C&amp;D inflection is an early positive signal.</w:t>
      </w:r>
    </w:p>
    <w:p>
      <w:pPr>
        <w:pStyle w:val="ListBullet"/>
        <w:ind w:left="360" w:hanging="360"/>
      </w:pPr>
      <w:r>
        <w:rPr>
          <w:rFonts w:ascii="Calibri" w:hAnsi="Calibri"/>
          <w:b/>
          <w:color w:val="525866"/>
          <w:sz w:val="22"/>
        </w:rPr>
        <w:t xml:space="preserve">June 23, 2026 — RSG Issues $1.2B in Senior Notes (4.750% due 2031 / 5.000% due 2036): </w:t>
      </w:r>
      <w:r>
        <w:rPr>
          <w:rFonts w:ascii="Calibri" w:hAnsi="Calibri"/>
          <w:color w:val="525866"/>
          <w:sz w:val="22"/>
        </w:rPr>
        <w:t>RSG sold $700M of 4.750% notes due 2031 and $500M of 5.000% notes due 2036 via underwritten offering. Implication: Signals active M&amp;A pipeline funding; consistent with &gt;$1B acquisition target for 2026. Leverage remains manageable at ~2.6x as of Q1.</w:t>
      </w:r>
    </w:p>
    <w:p>
      <w:pPr>
        <w:pStyle w:val="ListBullet"/>
        <w:ind w:left="360" w:hanging="360"/>
      </w:pPr>
      <w:r>
        <w:rPr>
          <w:rFonts w:ascii="Calibri" w:hAnsi="Calibri"/>
          <w:b/>
          <w:color w:val="525866"/>
          <w:sz w:val="22"/>
        </w:rPr>
        <w:t xml:space="preserve">May 11, 2026 — RSG Annual Meeting — All Proposals Approved: </w:t>
      </w:r>
      <w:r>
        <w:rPr>
          <w:rFonts w:ascii="Calibri" w:hAnsi="Calibri"/>
          <w:color w:val="525866"/>
          <w:sz w:val="22"/>
        </w:rPr>
        <w:t>Shareholders backed all proposals at the annual meeting. No governance concerns. Implication: Neutral; no material impact on earnings setup.</w:t>
      </w:r>
    </w:p>
    <w:p>
      <w:pPr>
        <w:pStyle w:val="ListBullet"/>
        <w:ind w:left="360" w:hanging="360"/>
      </w:pPr>
      <w:r>
        <w:rPr>
          <w:rFonts w:ascii="Calibri" w:hAnsi="Calibri"/>
          <w:b/>
          <w:color w:val="525866"/>
          <w:sz w:val="22"/>
        </w:rPr>
        <w:t xml:space="preserve">May 11–12, 2026 — Analyst Rating Actions Post-Q1: </w:t>
      </w:r>
      <w:r>
        <w:rPr>
          <w:rFonts w:ascii="Calibri" w:hAnsi="Calibri"/>
          <w:color w:val="525866"/>
          <w:sz w:val="22"/>
        </w:rPr>
        <w:t>Argus downgraded RSG from Buy to Hold (May 11); UBS cut price target from $240 to $223 (May 12, Neutral); Citigroup cut target from $253 to $247 (May 12, Buy); Barclays raised target from $227 to $233 (May 11, Equal Weight). Implication: Mixed post-Q1 reaction; Argus downgrade and UBS target cut reflect valuation concerns at prior levels. Citigroup subsequently raised target to $259 on July 10, suggesting improving sentiment.</w:t>
      </w:r>
    </w:p>
    <w:p>
      <w:pPr>
        <w:pStyle w:val="ListBullet"/>
        <w:ind w:left="360" w:hanging="360"/>
      </w:pPr>
      <w:r>
        <w:rPr>
          <w:rFonts w:ascii="Calibri" w:hAnsi="Calibri"/>
          <w:b/>
          <w:color w:val="525866"/>
          <w:sz w:val="22"/>
        </w:rPr>
        <w:t xml:space="preserve">July 10, 2026 — Citigroup Raises RSG Price Target to $259 (Buy): </w:t>
      </w:r>
      <w:r>
        <w:rPr>
          <w:rFonts w:ascii="Calibri" w:hAnsi="Calibri"/>
          <w:color w:val="525866"/>
          <w:sz w:val="22"/>
        </w:rPr>
        <w:t>Citigroup analyst Bryan Burgmeier raised the price target from $247 to $259, maintaining a Buy rating. Implication: Positive; suggests improving analyst confidence in RSG’s H2 setup and ES recovery narrative ahead of Q2 earnings.</w:t>
      </w:r>
    </w:p>
    <w:p>
      <w:pPr>
        <w:pStyle w:val="ListBullet"/>
        <w:ind w:left="360" w:hanging="360"/>
      </w:pPr>
      <w:r>
        <w:rPr>
          <w:rFonts w:ascii="Calibri" w:hAnsi="Calibri"/>
          <w:b/>
          <w:color w:val="525866"/>
          <w:sz w:val="22"/>
        </w:rPr>
        <w:t xml:space="preserve">May 13, 2026 — WM Names Tara Hemmer Chief Operating Officer: </w:t>
      </w:r>
      <w:r>
        <w:rPr>
          <w:rFonts w:ascii="Calibri" w:hAnsi="Calibri"/>
          <w:color w:val="525866"/>
          <w:sz w:val="22"/>
        </w:rPr>
        <w:t>WM announced a COO transition (Rafael Carrasco to retire). Implication: Sector-level leadership change; no direct impact on RSG but signals WM is investing in operational leadership ahead of its integration of Stericycle.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