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Republic Services, Inc. (RSG)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Republic Services, Inc.</w:t>
            </w:r>
          </w:p>
        </w:tc>
      </w:tr>
      <w:tr>
        <w:tc>
          <w:tcPr>
            <w:tcW w:type="dxa" w:w="4320"/>
          </w:tcPr>
          <w:p>
            <w:r>
              <w:rPr>
                <w:rFonts w:ascii="Calibri" w:hAnsi="Calibri"/>
                <w:b/>
                <w:sz w:val="22"/>
              </w:rPr>
              <w:t>Ticker</w:t>
            </w:r>
          </w:p>
        </w:tc>
        <w:tc>
          <w:tcPr>
            <w:tcW w:type="dxa" w:w="4320"/>
          </w:tcPr>
          <w:p>
            <w:r>
              <w:rPr>
                <w:rFonts w:ascii="Calibri" w:hAnsi="Calibri"/>
                <w:sz w:val="22"/>
              </w:rPr>
              <w:t>RSG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6, 2026 (after market close)</w:t>
            </w:r>
          </w:p>
        </w:tc>
      </w:tr>
      <w:tr>
        <w:tc>
          <w:tcPr>
            <w:tcW w:type="dxa" w:w="4320"/>
          </w:tcPr>
          <w:p>
            <w:r>
              <w:rPr>
                <w:rFonts w:ascii="Calibri" w:hAnsi="Calibri"/>
                <w:b/>
                <w:sz w:val="22"/>
              </w:rPr>
              <w:t>Prepared</w:t>
            </w:r>
          </w:p>
        </w:tc>
        <w:tc>
          <w:tcPr>
            <w:tcW w:type="dxa" w:w="4320"/>
          </w:tcPr>
          <w:p>
            <w:r>
              <w:rPr>
                <w:rFonts w:ascii="Calibri" w:hAnsi="Calibri"/>
                <w:sz w:val="22"/>
              </w:rPr>
              <w:t>August 5, 2026</w:t>
            </w:r>
          </w:p>
        </w:tc>
      </w:tr>
      <w:tr>
        <w:tc>
          <w:tcPr>
            <w:tcW w:type="dxa" w:w="4320"/>
          </w:tcPr>
          <w:p>
            <w:r>
              <w:rPr>
                <w:rFonts w:ascii="Calibri" w:hAnsi="Calibri"/>
                <w:b/>
                <w:sz w:val="22"/>
              </w:rPr>
              <w:t>Last Earnings</w:t>
            </w:r>
          </w:p>
        </w:tc>
        <w:tc>
          <w:tcPr>
            <w:tcW w:type="dxa" w:w="4320"/>
          </w:tcPr>
          <w:p>
            <w:r>
              <w:rPr>
                <w:rFonts w:ascii="Calibri" w:hAnsi="Calibri"/>
                <w:sz w:val="22"/>
              </w:rPr>
              <w:t>May 7, 2026 (Q1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balanced-to-slightly-cautious — consensus is a manageable bar, but the Q2 comp is the toughest of the year given the non-repeat of a large emergency response job in Environmental Solutions and the roll-off of event-driven landfill volumes; the single biggest swing factor is whether underlying volume trends (large container, special waste) have continued the green-shoot momentum management flagged in May.</w:t>
      </w:r>
    </w:p>
    <w:p>
      <w:r>
        <w:rPr>
          <w:rFonts w:ascii="Calibri" w:hAnsi="Calibri"/>
          <w:color w:val="525866"/>
          <w:sz w:val="22"/>
        </w:rPr>
        <w:t xml:space="preserve">Heading into Q2 2026 earnings, RSG faces its most challenging year-over-year comparison of the year. Management guided explicitly at the Q1 call for Q2 EBITDA margins to be </w:t>
      </w:r>
      <w:r>
        <w:rPr>
          <w:rFonts w:ascii="Calibri" w:hAnsi="Calibri"/>
          <w:i/>
          <w:color w:val="525866"/>
          <w:sz w:val="22"/>
        </w:rPr>
        <w:t>"somewhat flat to slightly down year-over-year"</w:t>
      </w:r>
      <w:r>
        <w:rPr>
          <w:rFonts w:ascii="Calibri" w:hAnsi="Calibri"/>
          <w:color w:val="525866"/>
          <w:sz w:val="22"/>
        </w:rPr>
        <w:t xml:space="preserve"> — primarily due to the non-repeat of project-related landfill volumes — while reaffirming full-year guidance in its entirety. Consensus EPS of $1.82 sits modestly above the $1.77 reported in Q2 2025, implying low-single-digit growth, a step-down from the 7.6% EPS growth delivered in Q1. </w:t>
      </w:r>
      <w:r>
        <w:rPr>
          <w:rFonts w:ascii="Calibri" w:hAnsi="Calibri"/>
          <w:b/>
          <w:color w:val="525866"/>
          <w:sz w:val="22"/>
        </w:rPr>
        <w:t>Estimate revisions have been essentially flat since the Q1 print</w:t>
      </w:r>
      <w:r>
        <w:rPr>
          <w:rFonts w:ascii="Calibri" w:hAnsi="Calibri"/>
          <w:color w:val="525866"/>
          <w:sz w:val="22"/>
        </w:rPr>
        <w:t xml:space="preserve"> (EPS drifted from $1.83 to $1.82), suggesting the Street has already absorbed the tough comp narrative and is not pricing in a meaningful beat or miss. The stock has underperformed the S&amp;P 500 since last earnings (RSG +2.7% vs. SPY +5.4% indexed), trading at ~26.9x NTM P/E — a premium that leaves little room for a guidance cut. The key wildcard is the Environmental Solutions segment: management guided for year-over-year revenue growth in H2 2026, and any early evidence of that inflection — or a further delay — could move the stock more than the headline EPS number.</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low-to-moderate bar on revenue and EBITDA given the known tough comp, but </w:t>
      </w:r>
      <w:r>
        <w:rPr>
          <w:rFonts w:ascii="Calibri" w:hAnsi="Calibri"/>
          <w:b/>
          <w:color w:val="525866"/>
          <w:sz w:val="22"/>
        </w:rPr>
        <w:t>average yield (pricing) is the bigger swing factor</w:t>
      </w:r>
      <w:r>
        <w:rPr>
          <w:rFonts w:ascii="Calibri" w:hAnsi="Calibri"/>
          <w:color w:val="525866"/>
          <w:sz w:val="22"/>
        </w:rPr>
        <w:t xml:space="preserve"> — any deceleration below the ~3.4% Q1 level would be a negative surprise, while a re-acceleration would be a positive catalyst. Environmental Solutions revenue and margin are the highest-variance line items.</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Revenue ($M)</w:t>
            </w:r>
          </w:p>
        </w:tc>
        <w:tc>
          <w:tcPr>
            <w:tcW w:type="dxa" w:w="1234"/>
          </w:tcPr>
          <w:p>
            <w:r>
              <w:rPr>
                <w:rFonts w:ascii="Calibri" w:hAnsi="Calibri"/>
                <w:sz w:val="22"/>
              </w:rPr>
              <w:t>$4,113</w:t>
            </w:r>
          </w:p>
        </w:tc>
        <w:tc>
          <w:tcPr>
            <w:tcW w:type="dxa" w:w="1234"/>
          </w:tcPr>
          <w:p>
            <w:r>
              <w:rPr>
                <w:rFonts w:ascii="Calibri" w:hAnsi="Calibri"/>
                <w:sz w:val="22"/>
              </w:rPr>
              <w:t>$4,235</w:t>
            </w:r>
          </w:p>
        </w:tc>
        <w:tc>
          <w:tcPr>
            <w:tcW w:type="dxa" w:w="1234"/>
          </w:tcPr>
          <w:p>
            <w:r>
              <w:rPr>
                <w:rFonts w:ascii="Calibri" w:hAnsi="Calibri"/>
                <w:sz w:val="22"/>
              </w:rPr>
              <w:t>$4,363</w:t>
            </w:r>
          </w:p>
        </w:tc>
        <w:tc>
          <w:tcPr>
            <w:tcW w:type="dxa" w:w="1234"/>
          </w:tcPr>
          <w:p>
            <w:r>
              <w:rPr>
                <w:rFonts w:ascii="Calibri" w:hAnsi="Calibri"/>
                <w:sz w:val="22"/>
              </w:rPr>
              <w:t>+3.0%</w:t>
            </w:r>
          </w:p>
        </w:tc>
        <w:tc>
          <w:tcPr>
            <w:tcW w:type="dxa" w:w="1234"/>
          </w:tcPr>
          <w:p>
            <w:r>
              <w:rPr>
                <w:rFonts w:ascii="Calibri" w:hAnsi="Calibri"/>
                <w:sz w:val="22"/>
              </w:rPr>
              <w:t>FY: $17.2B midpoint</w:t>
            </w:r>
          </w:p>
        </w:tc>
        <w:tc>
          <w:tcPr>
            <w:tcW w:type="dxa" w:w="1234"/>
          </w:tcPr>
          <w:p>
            <w:r>
              <w:rPr>
                <w:rFonts w:ascii="Calibri" w:hAnsi="Calibri"/>
                <w:sz w:val="22"/>
              </w:rPr>
              <w:t>N/A (Q2 not guided separately)</w:t>
            </w:r>
          </w:p>
        </w:tc>
      </w:tr>
      <w:tr>
        <w:tc>
          <w:tcPr>
            <w:tcW w:type="dxa" w:w="1234"/>
          </w:tcPr>
          <w:p>
            <w:r>
              <w:rPr>
                <w:rFonts w:ascii="Calibri" w:hAnsi="Calibri"/>
                <w:sz w:val="22"/>
              </w:rPr>
              <w:t>Adj. EBITDA ($M)</w:t>
            </w:r>
          </w:p>
        </w:tc>
        <w:tc>
          <w:tcPr>
            <w:tcW w:type="dxa" w:w="1234"/>
          </w:tcPr>
          <w:p>
            <w:r>
              <w:rPr>
                <w:rFonts w:ascii="Calibri" w:hAnsi="Calibri"/>
                <w:sz w:val="22"/>
              </w:rPr>
              <w:t>$1,322</w:t>
            </w:r>
          </w:p>
        </w:tc>
        <w:tc>
          <w:tcPr>
            <w:tcW w:type="dxa" w:w="1234"/>
          </w:tcPr>
          <w:p>
            <w:r>
              <w:rPr>
                <w:rFonts w:ascii="Calibri" w:hAnsi="Calibri"/>
                <w:sz w:val="22"/>
              </w:rPr>
              <w:t>$1,361</w:t>
            </w:r>
          </w:p>
        </w:tc>
        <w:tc>
          <w:tcPr>
            <w:tcW w:type="dxa" w:w="1234"/>
          </w:tcPr>
          <w:p>
            <w:r>
              <w:rPr>
                <w:rFonts w:ascii="Calibri" w:hAnsi="Calibri"/>
                <w:sz w:val="22"/>
              </w:rPr>
              <w:t>$1,391</w:t>
            </w:r>
          </w:p>
        </w:tc>
        <w:tc>
          <w:tcPr>
            <w:tcW w:type="dxa" w:w="1234"/>
          </w:tcPr>
          <w:p>
            <w:r>
              <w:rPr>
                <w:rFonts w:ascii="Calibri" w:hAnsi="Calibri"/>
                <w:sz w:val="22"/>
              </w:rPr>
              <w:t>+2.2%</w:t>
            </w:r>
          </w:p>
        </w:tc>
        <w:tc>
          <w:tcPr>
            <w:tcW w:type="dxa" w:w="1234"/>
          </w:tcPr>
          <w:p>
            <w:r>
              <w:rPr>
                <w:rFonts w:ascii="Calibri" w:hAnsi="Calibri"/>
                <w:sz w:val="22"/>
              </w:rPr>
              <w:t>Flat to slightly down YoY margin</w:t>
            </w:r>
          </w:p>
        </w:tc>
        <w:tc>
          <w:tcPr>
            <w:tcW w:type="dxa" w:w="1234"/>
          </w:tcPr>
          <w:p>
            <w:r>
              <w:rPr>
                <w:rFonts w:ascii="Calibri" w:hAnsi="Calibri"/>
                <w:sz w:val="22"/>
              </w:rPr>
              <w:t>Consistent with guidance</w:t>
            </w:r>
          </w:p>
        </w:tc>
      </w:tr>
      <w:tr>
        <w:tc>
          <w:tcPr>
            <w:tcW w:type="dxa" w:w="1234"/>
          </w:tcPr>
          <w:p>
            <w:r>
              <w:rPr>
                <w:rFonts w:ascii="Calibri" w:hAnsi="Calibri"/>
                <w:sz w:val="22"/>
              </w:rPr>
              <w:t>Adj. EPS (Diluted, Operating)</w:t>
            </w:r>
          </w:p>
        </w:tc>
        <w:tc>
          <w:tcPr>
            <w:tcW w:type="dxa" w:w="1234"/>
          </w:tcPr>
          <w:p>
            <w:r>
              <w:rPr>
                <w:rFonts w:ascii="Calibri" w:hAnsi="Calibri"/>
                <w:sz w:val="22"/>
              </w:rPr>
              <w:t>$1.70</w:t>
            </w:r>
          </w:p>
        </w:tc>
        <w:tc>
          <w:tcPr>
            <w:tcW w:type="dxa" w:w="1234"/>
          </w:tcPr>
          <w:p>
            <w:r>
              <w:rPr>
                <w:rFonts w:ascii="Calibri" w:hAnsi="Calibri"/>
                <w:sz w:val="22"/>
              </w:rPr>
              <w:t>$1.77</w:t>
            </w:r>
          </w:p>
        </w:tc>
        <w:tc>
          <w:tcPr>
            <w:tcW w:type="dxa" w:w="1234"/>
          </w:tcPr>
          <w:p>
            <w:r>
              <w:rPr>
                <w:rFonts w:ascii="Calibri" w:hAnsi="Calibri"/>
                <w:sz w:val="22"/>
              </w:rPr>
              <w:t>$1.82</w:t>
            </w:r>
          </w:p>
        </w:tc>
        <w:tc>
          <w:tcPr>
            <w:tcW w:type="dxa" w:w="1234"/>
          </w:tcPr>
          <w:p>
            <w:r>
              <w:rPr>
                <w:rFonts w:ascii="Calibri" w:hAnsi="Calibri"/>
                <w:sz w:val="22"/>
              </w:rPr>
              <w:t>+2.8%</w:t>
            </w:r>
          </w:p>
        </w:tc>
        <w:tc>
          <w:tcPr>
            <w:tcW w:type="dxa" w:w="1234"/>
          </w:tcPr>
          <w:p>
            <w:r>
              <w:rPr>
                <w:rFonts w:ascii="Calibri" w:hAnsi="Calibri"/>
                <w:sz w:val="22"/>
              </w:rPr>
              <w:t>FY: ~$7.30 consensus</w:t>
            </w:r>
          </w:p>
        </w:tc>
        <w:tc>
          <w:tcPr>
            <w:tcW w:type="dxa" w:w="1234"/>
          </w:tcPr>
          <w:p>
            <w:r>
              <w:rPr>
                <w:rFonts w:ascii="Calibri" w:hAnsi="Calibri"/>
                <w:sz w:val="22"/>
              </w:rPr>
              <w:t>N/A</w:t>
            </w:r>
          </w:p>
        </w:tc>
      </w:tr>
      <w:tr>
        <w:tc>
          <w:tcPr>
            <w:tcW w:type="dxa" w:w="1234"/>
          </w:tcPr>
          <w:p>
            <w:r>
              <w:rPr>
                <w:rFonts w:ascii="Calibri" w:hAnsi="Calibri"/>
                <w:sz w:val="22"/>
              </w:rPr>
              <w:t>Average Yield on Related Revenue (%)</w:t>
            </w:r>
          </w:p>
        </w:tc>
        <w:tc>
          <w:tcPr>
            <w:tcW w:type="dxa" w:w="1234"/>
          </w:tcPr>
          <w:p>
            <w:r>
              <w:rPr>
                <w:rFonts w:ascii="Calibri" w:hAnsi="Calibri"/>
                <w:sz w:val="22"/>
              </w:rPr>
              <w:t>4.1%</w:t>
            </w:r>
          </w:p>
        </w:tc>
        <w:tc>
          <w:tcPr>
            <w:tcW w:type="dxa" w:w="1234"/>
          </w:tcPr>
          <w:p>
            <w:r>
              <w:rPr>
                <w:rFonts w:ascii="Calibri" w:hAnsi="Calibri"/>
                <w:sz w:val="22"/>
              </w:rPr>
              <w:t>4.1%</w:t>
            </w:r>
          </w:p>
        </w:tc>
        <w:tc>
          <w:tcPr>
            <w:tcW w:type="dxa" w:w="1234"/>
          </w:tcPr>
          <w:p>
            <w:r>
              <w:rPr>
                <w:rFonts w:ascii="Calibri" w:hAnsi="Calibri"/>
                <w:sz w:val="22"/>
              </w:rPr>
              <w:t>~3.4%</w:t>
            </w:r>
          </w:p>
        </w:tc>
        <w:tc>
          <w:tcPr>
            <w:tcW w:type="dxa" w:w="1234"/>
          </w:tcPr>
          <w:p>
            <w:r>
              <w:rPr>
                <w:rFonts w:ascii="Calibri" w:hAnsi="Calibri"/>
                <w:sz w:val="22"/>
              </w:rPr>
              <w:t>~(70 bps)</w:t>
            </w:r>
          </w:p>
        </w:tc>
        <w:tc>
          <w:tcPr>
            <w:tcW w:type="dxa" w:w="1234"/>
          </w:tcPr>
          <w:p>
            <w:r>
              <w:rPr>
                <w:rFonts w:ascii="Calibri" w:hAnsi="Calibri"/>
                <w:sz w:val="22"/>
              </w:rPr>
              <w:t>No specific Q2 guide</w:t>
            </w:r>
          </w:p>
        </w:tc>
        <w:tc>
          <w:tcPr>
            <w:tcW w:type="dxa" w:w="1234"/>
          </w:tcPr>
          <w:p>
            <w:r>
              <w:rPr>
                <w:rFonts w:ascii="Calibri" w:hAnsi="Calibri"/>
                <w:sz w:val="22"/>
              </w:rPr>
              <w:t>N/A</w:t>
            </w:r>
          </w:p>
        </w:tc>
      </w:tr>
      <w:tr>
        <w:tc>
          <w:tcPr>
            <w:tcW w:type="dxa" w:w="1234"/>
          </w:tcPr>
          <w:p>
            <w:r>
              <w:rPr>
                <w:rFonts w:ascii="Calibri" w:hAnsi="Calibri"/>
                <w:sz w:val="22"/>
              </w:rPr>
              <w:t>Volume (%)</w:t>
            </w:r>
          </w:p>
        </w:tc>
        <w:tc>
          <w:tcPr>
            <w:tcW w:type="dxa" w:w="1234"/>
          </w:tcPr>
          <w:p>
            <w:r>
              <w:rPr>
                <w:rFonts w:ascii="Calibri" w:hAnsi="Calibri"/>
                <w:sz w:val="22"/>
              </w:rPr>
              <w:t>-0.8%</w:t>
            </w:r>
          </w:p>
        </w:tc>
        <w:tc>
          <w:tcPr>
            <w:tcW w:type="dxa" w:w="1234"/>
          </w:tcPr>
          <w:p>
            <w:r>
              <w:rPr>
                <w:rFonts w:ascii="Calibri" w:hAnsi="Calibri"/>
                <w:sz w:val="22"/>
              </w:rPr>
              <w:t>+0.2%</w:t>
            </w:r>
          </w:p>
        </w:tc>
        <w:tc>
          <w:tcPr>
            <w:tcW w:type="dxa" w:w="1234"/>
          </w:tcPr>
          <w:p>
            <w:r>
              <w:rPr>
                <w:rFonts w:ascii="Calibri" w:hAnsi="Calibri"/>
                <w:sz w:val="22"/>
              </w:rPr>
              <w:t>~-1.6%</w:t>
            </w:r>
          </w:p>
        </w:tc>
        <w:tc>
          <w:tcPr>
            <w:tcW w:type="dxa" w:w="1234"/>
          </w:tcPr>
          <w:p>
            <w:r>
              <w:rPr>
                <w:rFonts w:ascii="Calibri" w:hAnsi="Calibri"/>
                <w:sz w:val="22"/>
              </w:rPr>
              <w:t>~(180 bps)</w:t>
            </w:r>
          </w:p>
        </w:tc>
        <w:tc>
          <w:tcPr>
            <w:tcW w:type="dxa" w:w="1234"/>
          </w:tcPr>
          <w:p>
            <w:r>
              <w:rPr>
                <w:rFonts w:ascii="Calibri" w:hAnsi="Calibri"/>
                <w:sz w:val="22"/>
              </w:rPr>
              <w:t>Negative in Q2 &amp; Q3; positive in Q4</w:t>
            </w:r>
          </w:p>
        </w:tc>
        <w:tc>
          <w:tcPr>
            <w:tcW w:type="dxa" w:w="1234"/>
          </w:tcPr>
          <w:p>
            <w:r>
              <w:rPr>
                <w:rFonts w:ascii="Calibri" w:hAnsi="Calibri"/>
                <w:sz w:val="22"/>
              </w:rPr>
              <w:t>Consistent with guidance</w:t>
            </w:r>
          </w:p>
        </w:tc>
      </w:tr>
      <w:tr>
        <w:tc>
          <w:tcPr>
            <w:tcW w:type="dxa" w:w="1234"/>
          </w:tcPr>
          <w:p>
            <w:r>
              <w:rPr>
                <w:rFonts w:ascii="Calibri" w:hAnsi="Calibri"/>
                <w:sz w:val="22"/>
              </w:rPr>
              <w:t>ES Revenue ($M)</w:t>
            </w:r>
          </w:p>
        </w:tc>
        <w:tc>
          <w:tcPr>
            <w:tcW w:type="dxa" w:w="1234"/>
          </w:tcPr>
          <w:p>
            <w:r>
              <w:rPr>
                <w:rFonts w:ascii="Calibri" w:hAnsi="Calibri"/>
                <w:sz w:val="22"/>
              </w:rPr>
              <w:t>$405</w:t>
            </w:r>
          </w:p>
        </w:tc>
        <w:tc>
          <w:tcPr>
            <w:tcW w:type="dxa" w:w="1234"/>
          </w:tcPr>
          <w:p>
            <w:r>
              <w:rPr>
                <w:rFonts w:ascii="Calibri" w:hAnsi="Calibri"/>
                <w:sz w:val="22"/>
              </w:rPr>
              <w:t>$462</w:t>
            </w:r>
          </w:p>
        </w:tc>
        <w:tc>
          <w:tcPr>
            <w:tcW w:type="dxa" w:w="1234"/>
          </w:tcPr>
          <w:p>
            <w:r>
              <w:rPr>
                <w:rFonts w:ascii="Calibri" w:hAnsi="Calibri"/>
                <w:sz w:val="22"/>
              </w:rPr>
              <w:t>$446</w:t>
            </w:r>
          </w:p>
        </w:tc>
        <w:tc>
          <w:tcPr>
            <w:tcW w:type="dxa" w:w="1234"/>
          </w:tcPr>
          <w:p>
            <w:r>
              <w:rPr>
                <w:rFonts w:ascii="Calibri" w:hAnsi="Calibri"/>
                <w:sz w:val="22"/>
              </w:rPr>
              <w:t>-3.5%</w:t>
            </w:r>
          </w:p>
        </w:tc>
        <w:tc>
          <w:tcPr>
            <w:tcW w:type="dxa" w:w="1234"/>
          </w:tcPr>
          <w:p>
            <w:r>
              <w:rPr>
                <w:rFonts w:ascii="Calibri" w:hAnsi="Calibri"/>
                <w:sz w:val="22"/>
              </w:rPr>
              <w:t>Tough Q2 comp; H2 growth expected</w:t>
            </w:r>
          </w:p>
        </w:tc>
        <w:tc>
          <w:tcPr>
            <w:tcW w:type="dxa" w:w="1234"/>
          </w:tcPr>
          <w:p>
            <w:r>
              <w:rPr>
                <w:rFonts w:ascii="Calibri" w:hAnsi="Calibri"/>
                <w:sz w:val="22"/>
              </w:rPr>
              <w:t>Consistent with guidance</w:t>
            </w:r>
          </w:p>
        </w:tc>
      </w:tr>
      <w:tr>
        <w:tc>
          <w:tcPr>
            <w:tcW w:type="dxa" w:w="1234"/>
          </w:tcPr>
          <w:p>
            <w:r>
              <w:rPr>
                <w:rFonts w:ascii="Calibri" w:hAnsi="Calibri"/>
                <w:sz w:val="22"/>
              </w:rPr>
              <w:t>ES Adj. EBITDA Margin (%)</w:t>
            </w:r>
          </w:p>
        </w:tc>
        <w:tc>
          <w:tcPr>
            <w:tcW w:type="dxa" w:w="1234"/>
          </w:tcPr>
          <w:p>
            <w:r>
              <w:rPr>
                <w:rFonts w:ascii="Calibri" w:hAnsi="Calibri"/>
                <w:sz w:val="22"/>
              </w:rPr>
              <w:t>19.3%</w:t>
            </w:r>
          </w:p>
        </w:tc>
        <w:tc>
          <w:tcPr>
            <w:tcW w:type="dxa" w:w="1234"/>
          </w:tcPr>
          <w:p>
            <w:r>
              <w:rPr>
                <w:rFonts w:ascii="Calibri" w:hAnsi="Calibri"/>
                <w:sz w:val="22"/>
              </w:rPr>
              <w:t>23.6%</w:t>
            </w:r>
          </w:p>
        </w:tc>
        <w:tc>
          <w:tcPr>
            <w:tcW w:type="dxa" w:w="1234"/>
          </w:tcPr>
          <w:p>
            <w:r>
              <w:rPr>
                <w:rFonts w:ascii="Calibri" w:hAnsi="Calibri"/>
                <w:sz w:val="22"/>
              </w:rPr>
              <w:t>~21.5%</w:t>
            </w:r>
          </w:p>
        </w:tc>
        <w:tc>
          <w:tcPr>
            <w:tcW w:type="dxa" w:w="1234"/>
          </w:tcPr>
          <w:p>
            <w:r>
              <w:rPr>
                <w:rFonts w:ascii="Calibri" w:hAnsi="Calibri"/>
                <w:sz w:val="22"/>
              </w:rPr>
              <w:t>~(210 bps)</w:t>
            </w:r>
          </w:p>
        </w:tc>
        <w:tc>
          <w:tcPr>
            <w:tcW w:type="dxa" w:w="1234"/>
          </w:tcPr>
          <w:p>
            <w:r>
              <w:rPr>
                <w:rFonts w:ascii="Calibri" w:hAnsi="Calibri"/>
                <w:sz w:val="22"/>
              </w:rPr>
              <w:t>Margin expansion in H2</w:t>
            </w:r>
          </w:p>
        </w:tc>
        <w:tc>
          <w:tcPr>
            <w:tcW w:type="dxa" w:w="1234"/>
          </w:tcPr>
          <w:p>
            <w:r>
              <w:rPr>
                <w:rFonts w:ascii="Calibri" w:hAnsi="Calibri"/>
                <w:sz w:val="22"/>
              </w:rPr>
              <w:t>Consistent with guidance</w:t>
            </w:r>
          </w:p>
        </w:tc>
      </w:tr>
    </w:tbl>
    <w:p>
      <w:r>
        <w:rPr>
          <w:rFonts w:ascii="Calibri" w:hAnsi="Calibri"/>
          <w:i/>
          <w:color w:val="525866"/>
          <w:sz w:val="22"/>
        </w:rPr>
        <w:t>Sources: Visible Alpha Consensus and Actuals Data; RSG Q1 2026 Earnings Release (May 7, 2026); RSG Q1 2026 Earnings Call Transcript (May 7, 2026).</w:t>
      </w:r>
    </w:p>
    <w:p>
      <w:pPr>
        <w:pStyle w:val="Heading3"/>
      </w:pPr>
      <w:r>
        <w:rPr>
          <w:rFonts w:ascii="Calibri" w:hAnsi="Calibri"/>
          <w:b/>
          <w:color w:val="3B4259"/>
          <w:sz w:val="24"/>
        </w:rPr>
        <w:t>Table 2 — Beat/Miss History: Adj. EPS &amp; Revenue (Last 8 Quarters)</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shd w:val="clear" w:color="auto" w:fill="3B4259"/>
          </w:tcPr>
          <w:p>
            <w:r>
              <w:rPr>
                <w:rFonts w:ascii="Calibri" w:hAnsi="Calibri"/>
                <w:b/>
                <w:color w:val="FFFFFF"/>
                <w:sz w:val="22"/>
              </w:rPr>
              <w:t>Quarter</w:t>
            </w:r>
          </w:p>
        </w:tc>
        <w:tc>
          <w:tcPr>
            <w:tcW w:type="dxa" w:w="960"/>
            <w:shd w:val="clear" w:color="auto" w:fill="3B4259"/>
          </w:tcPr>
          <w:p>
            <w:r>
              <w:rPr>
                <w:rFonts w:ascii="Calibri" w:hAnsi="Calibri"/>
                <w:b/>
                <w:color w:val="FFFFFF"/>
                <w:sz w:val="22"/>
              </w:rPr>
              <w:t>Reported Adj. EPS</w:t>
            </w:r>
          </w:p>
        </w:tc>
        <w:tc>
          <w:tcPr>
            <w:tcW w:type="dxa" w:w="960"/>
            <w:shd w:val="clear" w:color="auto" w:fill="3B4259"/>
          </w:tcPr>
          <w:p>
            <w:r>
              <w:rPr>
                <w:rFonts w:ascii="Calibri" w:hAnsi="Calibri"/>
                <w:b/>
                <w:color w:val="FFFFFF"/>
                <w:sz w:val="22"/>
              </w:rPr>
              <w:t>Consensus EPS</w:t>
            </w:r>
          </w:p>
        </w:tc>
        <w:tc>
          <w:tcPr>
            <w:tcW w:type="dxa" w:w="960"/>
            <w:shd w:val="clear" w:color="auto" w:fill="3B4259"/>
          </w:tcPr>
          <w:p>
            <w:r>
              <w:rPr>
                <w:rFonts w:ascii="Calibri" w:hAnsi="Calibri"/>
                <w:b/>
                <w:color w:val="FFFFFF"/>
                <w:sz w:val="22"/>
              </w:rPr>
              <w:t>EPS Surprise %</w:t>
            </w:r>
          </w:p>
        </w:tc>
        <w:tc>
          <w:tcPr>
            <w:tcW w:type="dxa" w:w="960"/>
            <w:shd w:val="clear" w:color="auto" w:fill="3B4259"/>
          </w:tcPr>
          <w:p>
            <w:r>
              <w:rPr>
                <w:rFonts w:ascii="Calibri" w:hAnsi="Calibri"/>
                <w:b/>
                <w:color w:val="FFFFFF"/>
                <w:sz w:val="22"/>
              </w:rPr>
              <w:t>EPS Result</w:t>
            </w:r>
          </w:p>
        </w:tc>
        <w:tc>
          <w:tcPr>
            <w:tcW w:type="dxa" w:w="960"/>
            <w:shd w:val="clear" w:color="auto" w:fill="3B4259"/>
          </w:tcPr>
          <w:p>
            <w:r>
              <w:rPr>
                <w:rFonts w:ascii="Calibri" w:hAnsi="Calibri"/>
                <w:b/>
                <w:color w:val="FFFFFF"/>
                <w:sz w:val="22"/>
              </w:rPr>
              <w:t>Reported Revenue ($M)</w:t>
            </w:r>
          </w:p>
        </w:tc>
        <w:tc>
          <w:tcPr>
            <w:tcW w:type="dxa" w:w="960"/>
            <w:shd w:val="clear" w:color="auto" w:fill="3B4259"/>
          </w:tcPr>
          <w:p>
            <w:r>
              <w:rPr>
                <w:rFonts w:ascii="Calibri" w:hAnsi="Calibri"/>
                <w:b/>
                <w:color w:val="FFFFFF"/>
                <w:sz w:val="22"/>
              </w:rPr>
              <w:t>Consensus Revenue ($M)</w:t>
            </w:r>
          </w:p>
        </w:tc>
        <w:tc>
          <w:tcPr>
            <w:tcW w:type="dxa" w:w="960"/>
            <w:shd w:val="clear" w:color="auto" w:fill="3B4259"/>
          </w:tcPr>
          <w:p>
            <w:r>
              <w:rPr>
                <w:rFonts w:ascii="Calibri" w:hAnsi="Calibri"/>
                <w:b/>
                <w:color w:val="FFFFFF"/>
                <w:sz w:val="22"/>
              </w:rPr>
              <w:t>Rev. Surprise %</w:t>
            </w:r>
          </w:p>
        </w:tc>
        <w:tc>
          <w:tcPr>
            <w:tcW w:type="dxa" w:w="960"/>
            <w:shd w:val="clear" w:color="auto" w:fill="3B4259"/>
          </w:tcPr>
          <w:p>
            <w:r>
              <w:rPr>
                <w:rFonts w:ascii="Calibri" w:hAnsi="Calibri"/>
                <w:b/>
                <w:color w:val="FFFFFF"/>
                <w:sz w:val="22"/>
              </w:rPr>
              <w:t>Rev. Result</w:t>
            </w:r>
          </w:p>
        </w:tc>
      </w:tr>
      <w:tr>
        <w:tc>
          <w:tcPr>
            <w:tcW w:type="dxa" w:w="960"/>
          </w:tcPr>
          <w:p>
            <w:r>
              <w:rPr>
                <w:rFonts w:ascii="Calibri" w:hAnsi="Calibri"/>
                <w:sz w:val="22"/>
              </w:rPr>
              <w:t>Q1 2026</w:t>
            </w:r>
          </w:p>
        </w:tc>
        <w:tc>
          <w:tcPr>
            <w:tcW w:type="dxa" w:w="960"/>
          </w:tcPr>
          <w:p>
            <w:r>
              <w:rPr>
                <w:rFonts w:ascii="Calibri" w:hAnsi="Calibri"/>
                <w:sz w:val="22"/>
              </w:rPr>
              <w:t>$1.70</w:t>
            </w:r>
          </w:p>
        </w:tc>
        <w:tc>
          <w:tcPr>
            <w:tcW w:type="dxa" w:w="960"/>
          </w:tcPr>
          <w:p>
            <w:r>
              <w:rPr>
                <w:rFonts w:ascii="Calibri" w:hAnsi="Calibri"/>
                <w:sz w:val="22"/>
              </w:rPr>
              <w:t>$1.63</w:t>
            </w:r>
          </w:p>
        </w:tc>
        <w:tc>
          <w:tcPr>
            <w:tcW w:type="dxa" w:w="960"/>
          </w:tcPr>
          <w:p>
            <w:r>
              <w:rPr>
                <w:rFonts w:ascii="Calibri" w:hAnsi="Calibri"/>
                <w:b/>
                <w:color w:val="30A46C"/>
                <w:sz w:val="22"/>
              </w:rPr>
              <w:t>+4.3%</w:t>
            </w:r>
          </w:p>
        </w:tc>
        <w:tc>
          <w:tcPr>
            <w:tcW w:type="dxa" w:w="960"/>
          </w:tcPr>
          <w:p>
            <w:r>
              <w:rPr>
                <w:rFonts w:ascii="Calibri" w:hAnsi="Calibri"/>
                <w:b/>
                <w:color w:val="30A46C"/>
                <w:sz w:val="22"/>
              </w:rPr>
              <w:t>Beat</w:t>
            </w:r>
          </w:p>
        </w:tc>
        <w:tc>
          <w:tcPr>
            <w:tcW w:type="dxa" w:w="960"/>
          </w:tcPr>
          <w:p>
            <w:r>
              <w:rPr>
                <w:rFonts w:ascii="Calibri" w:hAnsi="Calibri"/>
                <w:sz w:val="22"/>
              </w:rPr>
              <w:t>$4,113</w:t>
            </w:r>
          </w:p>
        </w:tc>
        <w:tc>
          <w:tcPr>
            <w:tcW w:type="dxa" w:w="960"/>
          </w:tcPr>
          <w:p>
            <w:r>
              <w:rPr>
                <w:rFonts w:ascii="Calibri" w:hAnsi="Calibri"/>
                <w:sz w:val="22"/>
              </w:rPr>
              <w:t>$4,098</w:t>
            </w:r>
          </w:p>
        </w:tc>
        <w:tc>
          <w:tcPr>
            <w:tcW w:type="dxa" w:w="960"/>
          </w:tcPr>
          <w:p>
            <w:r>
              <w:rPr>
                <w:rFonts w:ascii="Calibri" w:hAnsi="Calibri"/>
                <w:b/>
                <w:color w:val="30A46C"/>
                <w:sz w:val="22"/>
              </w:rPr>
              <w:t>+0.4%</w:t>
            </w:r>
          </w:p>
        </w:tc>
        <w:tc>
          <w:tcPr>
            <w:tcW w:type="dxa" w:w="960"/>
          </w:tcPr>
          <w:p>
            <w:r>
              <w:rPr>
                <w:rFonts w:ascii="Calibri" w:hAnsi="Calibri"/>
                <w:b/>
                <w:color w:val="30A46C"/>
                <w:sz w:val="22"/>
              </w:rPr>
              <w:t>Beat</w:t>
            </w:r>
          </w:p>
        </w:tc>
      </w:tr>
      <w:tr>
        <w:tc>
          <w:tcPr>
            <w:tcW w:type="dxa" w:w="960"/>
          </w:tcPr>
          <w:p>
            <w:r>
              <w:rPr>
                <w:rFonts w:ascii="Calibri" w:hAnsi="Calibri"/>
                <w:sz w:val="22"/>
              </w:rPr>
              <w:t>Q4 2025</w:t>
            </w:r>
          </w:p>
        </w:tc>
        <w:tc>
          <w:tcPr>
            <w:tcW w:type="dxa" w:w="960"/>
          </w:tcPr>
          <w:p>
            <w:r>
              <w:rPr>
                <w:rFonts w:ascii="Calibri" w:hAnsi="Calibri"/>
                <w:sz w:val="22"/>
              </w:rPr>
              <w:t>$1.76</w:t>
            </w:r>
          </w:p>
        </w:tc>
        <w:tc>
          <w:tcPr>
            <w:tcW w:type="dxa" w:w="960"/>
          </w:tcPr>
          <w:p>
            <w:r>
              <w:rPr>
                <w:rFonts w:ascii="Calibri" w:hAnsi="Calibri"/>
                <w:sz w:val="22"/>
              </w:rPr>
              <w:t>$1.62</w:t>
            </w:r>
          </w:p>
        </w:tc>
        <w:tc>
          <w:tcPr>
            <w:tcW w:type="dxa" w:w="960"/>
          </w:tcPr>
          <w:p>
            <w:r>
              <w:rPr>
                <w:rFonts w:ascii="Calibri" w:hAnsi="Calibri"/>
                <w:b/>
                <w:color w:val="30A46C"/>
                <w:sz w:val="22"/>
              </w:rPr>
              <w:t>+8.6%</w:t>
            </w:r>
          </w:p>
        </w:tc>
        <w:tc>
          <w:tcPr>
            <w:tcW w:type="dxa" w:w="960"/>
          </w:tcPr>
          <w:p>
            <w:r>
              <w:rPr>
                <w:rFonts w:ascii="Calibri" w:hAnsi="Calibri"/>
                <w:b/>
                <w:color w:val="30A46C"/>
                <w:sz w:val="22"/>
              </w:rPr>
              <w:t>Beat</w:t>
            </w:r>
          </w:p>
        </w:tc>
        <w:tc>
          <w:tcPr>
            <w:tcW w:type="dxa" w:w="960"/>
          </w:tcPr>
          <w:p>
            <w:r>
              <w:rPr>
                <w:rFonts w:ascii="Calibri" w:hAnsi="Calibri"/>
                <w:sz w:val="22"/>
              </w:rPr>
              <w:t>$4,136</w:t>
            </w:r>
          </w:p>
        </w:tc>
        <w:tc>
          <w:tcPr>
            <w:tcW w:type="dxa" w:w="960"/>
          </w:tcPr>
          <w:p>
            <w:r>
              <w:rPr>
                <w:rFonts w:ascii="Calibri" w:hAnsi="Calibri"/>
                <w:sz w:val="22"/>
              </w:rPr>
              <w:t>$4,210</w:t>
            </w:r>
          </w:p>
        </w:tc>
        <w:tc>
          <w:tcPr>
            <w:tcW w:type="dxa" w:w="960"/>
          </w:tcPr>
          <w:p>
            <w:r>
              <w:rPr>
                <w:rFonts w:ascii="Calibri" w:hAnsi="Calibri"/>
                <w:b/>
                <w:color w:val="E5484D"/>
                <w:sz w:val="22"/>
              </w:rPr>
              <w:t>-1.8%</w:t>
            </w:r>
          </w:p>
        </w:tc>
        <w:tc>
          <w:tcPr>
            <w:tcW w:type="dxa" w:w="960"/>
          </w:tcPr>
          <w:p>
            <w:r>
              <w:rPr>
                <w:rFonts w:ascii="Calibri" w:hAnsi="Calibri"/>
                <w:b/>
                <w:color w:val="E5484D"/>
                <w:sz w:val="22"/>
              </w:rPr>
              <w:t>Miss</w:t>
            </w:r>
          </w:p>
        </w:tc>
      </w:tr>
      <w:tr>
        <w:tc>
          <w:tcPr>
            <w:tcW w:type="dxa" w:w="960"/>
          </w:tcPr>
          <w:p>
            <w:r>
              <w:rPr>
                <w:rFonts w:ascii="Calibri" w:hAnsi="Calibri"/>
                <w:sz w:val="22"/>
              </w:rPr>
              <w:t>Q3 2025</w:t>
            </w:r>
          </w:p>
        </w:tc>
        <w:tc>
          <w:tcPr>
            <w:tcW w:type="dxa" w:w="960"/>
          </w:tcPr>
          <w:p>
            <w:r>
              <w:rPr>
                <w:rFonts w:ascii="Calibri" w:hAnsi="Calibri"/>
                <w:sz w:val="22"/>
              </w:rPr>
              <w:t>$1.90</w:t>
            </w:r>
          </w:p>
        </w:tc>
        <w:tc>
          <w:tcPr>
            <w:tcW w:type="dxa" w:w="960"/>
          </w:tcPr>
          <w:p>
            <w:r>
              <w:rPr>
                <w:rFonts w:ascii="Calibri" w:hAnsi="Calibri"/>
                <w:sz w:val="22"/>
              </w:rPr>
              <w:t>$1.79</w:t>
            </w:r>
          </w:p>
        </w:tc>
        <w:tc>
          <w:tcPr>
            <w:tcW w:type="dxa" w:w="960"/>
          </w:tcPr>
          <w:p>
            <w:r>
              <w:rPr>
                <w:rFonts w:ascii="Calibri" w:hAnsi="Calibri"/>
                <w:b/>
                <w:color w:val="30A46C"/>
                <w:sz w:val="22"/>
              </w:rPr>
              <w:t>+6.1%</w:t>
            </w:r>
          </w:p>
        </w:tc>
        <w:tc>
          <w:tcPr>
            <w:tcW w:type="dxa" w:w="960"/>
          </w:tcPr>
          <w:p>
            <w:r>
              <w:rPr>
                <w:rFonts w:ascii="Calibri" w:hAnsi="Calibri"/>
                <w:b/>
                <w:color w:val="30A46C"/>
                <w:sz w:val="22"/>
              </w:rPr>
              <w:t>Beat</w:t>
            </w:r>
          </w:p>
        </w:tc>
        <w:tc>
          <w:tcPr>
            <w:tcW w:type="dxa" w:w="960"/>
          </w:tcPr>
          <w:p>
            <w:r>
              <w:rPr>
                <w:rFonts w:ascii="Calibri" w:hAnsi="Calibri"/>
                <w:sz w:val="22"/>
              </w:rPr>
              <w:t>$4,212</w:t>
            </w:r>
          </w:p>
        </w:tc>
        <w:tc>
          <w:tcPr>
            <w:tcW w:type="dxa" w:w="960"/>
          </w:tcPr>
          <w:p>
            <w:r>
              <w:rPr>
                <w:rFonts w:ascii="Calibri" w:hAnsi="Calibri"/>
                <w:sz w:val="22"/>
              </w:rPr>
              <w:t>$4,245</w:t>
            </w:r>
          </w:p>
        </w:tc>
        <w:tc>
          <w:tcPr>
            <w:tcW w:type="dxa" w:w="960"/>
          </w:tcPr>
          <w:p>
            <w:r>
              <w:rPr>
                <w:rFonts w:ascii="Calibri" w:hAnsi="Calibri"/>
                <w:b/>
                <w:color w:val="E5484D"/>
                <w:sz w:val="22"/>
              </w:rPr>
              <w:t>-0.8%</w:t>
            </w:r>
          </w:p>
        </w:tc>
        <w:tc>
          <w:tcPr>
            <w:tcW w:type="dxa" w:w="960"/>
          </w:tcPr>
          <w:p>
            <w:r>
              <w:rPr>
                <w:rFonts w:ascii="Calibri" w:hAnsi="Calibri"/>
                <w:b/>
                <w:color w:val="E5484D"/>
                <w:sz w:val="22"/>
              </w:rPr>
              <w:t>Miss</w:t>
            </w:r>
          </w:p>
        </w:tc>
      </w:tr>
      <w:tr>
        <w:tc>
          <w:tcPr>
            <w:tcW w:type="dxa" w:w="960"/>
          </w:tcPr>
          <w:p>
            <w:r>
              <w:rPr>
                <w:rFonts w:ascii="Calibri" w:hAnsi="Calibri"/>
                <w:sz w:val="22"/>
              </w:rPr>
              <w:t>Q2 2025</w:t>
            </w:r>
          </w:p>
        </w:tc>
        <w:tc>
          <w:tcPr>
            <w:tcW w:type="dxa" w:w="960"/>
          </w:tcPr>
          <w:p>
            <w:r>
              <w:rPr>
                <w:rFonts w:ascii="Calibri" w:hAnsi="Calibri"/>
                <w:sz w:val="22"/>
              </w:rPr>
              <w:t>$1.77</w:t>
            </w:r>
          </w:p>
        </w:tc>
        <w:tc>
          <w:tcPr>
            <w:tcW w:type="dxa" w:w="960"/>
          </w:tcPr>
          <w:p>
            <w:r>
              <w:rPr>
                <w:rFonts w:ascii="Calibri" w:hAnsi="Calibri"/>
                <w:sz w:val="22"/>
              </w:rPr>
              <w:t>$1.75</w:t>
            </w:r>
          </w:p>
        </w:tc>
        <w:tc>
          <w:tcPr>
            <w:tcW w:type="dxa" w:w="960"/>
          </w:tcPr>
          <w:p>
            <w:r>
              <w:rPr>
                <w:rFonts w:ascii="Calibri" w:hAnsi="Calibri"/>
                <w:b/>
                <w:color w:val="30A46C"/>
                <w:sz w:val="22"/>
              </w:rPr>
              <w:t>+1.1%</w:t>
            </w:r>
          </w:p>
        </w:tc>
        <w:tc>
          <w:tcPr>
            <w:tcW w:type="dxa" w:w="960"/>
          </w:tcPr>
          <w:p>
            <w:r>
              <w:rPr>
                <w:rFonts w:ascii="Calibri" w:hAnsi="Calibri"/>
                <w:b/>
                <w:color w:val="30A46C"/>
                <w:sz w:val="22"/>
              </w:rPr>
              <w:t>Beat</w:t>
            </w:r>
          </w:p>
        </w:tc>
        <w:tc>
          <w:tcPr>
            <w:tcW w:type="dxa" w:w="960"/>
          </w:tcPr>
          <w:p>
            <w:r>
              <w:rPr>
                <w:rFonts w:ascii="Calibri" w:hAnsi="Calibri"/>
                <w:sz w:val="22"/>
              </w:rPr>
              <w:t>$4,235</w:t>
            </w:r>
          </w:p>
        </w:tc>
        <w:tc>
          <w:tcPr>
            <w:tcW w:type="dxa" w:w="960"/>
          </w:tcPr>
          <w:p>
            <w:r>
              <w:rPr>
                <w:rFonts w:ascii="Calibri" w:hAnsi="Calibri"/>
                <w:sz w:val="22"/>
              </w:rPr>
              <w:t>$4,263</w:t>
            </w:r>
          </w:p>
        </w:tc>
        <w:tc>
          <w:tcPr>
            <w:tcW w:type="dxa" w:w="960"/>
          </w:tcPr>
          <w:p>
            <w:r>
              <w:rPr>
                <w:rFonts w:ascii="Calibri" w:hAnsi="Calibri"/>
                <w:b/>
                <w:color w:val="E5484D"/>
                <w:sz w:val="22"/>
              </w:rPr>
              <w:t>-0.7%</w:t>
            </w:r>
          </w:p>
        </w:tc>
        <w:tc>
          <w:tcPr>
            <w:tcW w:type="dxa" w:w="960"/>
          </w:tcPr>
          <w:p>
            <w:r>
              <w:rPr>
                <w:rFonts w:ascii="Calibri" w:hAnsi="Calibri"/>
                <w:b/>
                <w:color w:val="E5484D"/>
                <w:sz w:val="22"/>
              </w:rPr>
              <w:t>Miss</w:t>
            </w:r>
          </w:p>
        </w:tc>
      </w:tr>
      <w:tr>
        <w:tc>
          <w:tcPr>
            <w:tcW w:type="dxa" w:w="960"/>
          </w:tcPr>
          <w:p>
            <w:r>
              <w:rPr>
                <w:rFonts w:ascii="Calibri" w:hAnsi="Calibri"/>
                <w:sz w:val="22"/>
              </w:rPr>
              <w:t>Q1 2025</w:t>
            </w:r>
          </w:p>
        </w:tc>
        <w:tc>
          <w:tcPr>
            <w:tcW w:type="dxa" w:w="960"/>
          </w:tcPr>
          <w:p>
            <w:r>
              <w:rPr>
                <w:rFonts w:ascii="Calibri" w:hAnsi="Calibri"/>
                <w:sz w:val="22"/>
              </w:rPr>
              <w:t>$1.58</w:t>
            </w:r>
          </w:p>
        </w:tc>
        <w:tc>
          <w:tcPr>
            <w:tcW w:type="dxa" w:w="960"/>
          </w:tcPr>
          <w:p>
            <w:r>
              <w:rPr>
                <w:rFonts w:ascii="Calibri" w:hAnsi="Calibri"/>
                <w:sz w:val="22"/>
              </w:rPr>
              <w:t>$1.54</w:t>
            </w:r>
          </w:p>
        </w:tc>
        <w:tc>
          <w:tcPr>
            <w:tcW w:type="dxa" w:w="960"/>
          </w:tcPr>
          <w:p>
            <w:r>
              <w:rPr>
                <w:rFonts w:ascii="Calibri" w:hAnsi="Calibri"/>
                <w:b/>
                <w:color w:val="30A46C"/>
                <w:sz w:val="22"/>
              </w:rPr>
              <w:t>+2.6%</w:t>
            </w:r>
          </w:p>
        </w:tc>
        <w:tc>
          <w:tcPr>
            <w:tcW w:type="dxa" w:w="960"/>
          </w:tcPr>
          <w:p>
            <w:r>
              <w:rPr>
                <w:rFonts w:ascii="Calibri" w:hAnsi="Calibri"/>
                <w:b/>
                <w:color w:val="30A46C"/>
                <w:sz w:val="22"/>
              </w:rPr>
              <w:t>Beat</w:t>
            </w:r>
          </w:p>
        </w:tc>
        <w:tc>
          <w:tcPr>
            <w:tcW w:type="dxa" w:w="960"/>
          </w:tcPr>
          <w:p>
            <w:r>
              <w:rPr>
                <w:rFonts w:ascii="Calibri" w:hAnsi="Calibri"/>
                <w:sz w:val="22"/>
              </w:rPr>
              <w:t>$4,009</w:t>
            </w:r>
          </w:p>
        </w:tc>
        <w:tc>
          <w:tcPr>
            <w:tcW w:type="dxa" w:w="960"/>
          </w:tcPr>
          <w:p>
            <w:r>
              <w:rPr>
                <w:rFonts w:ascii="Calibri" w:hAnsi="Calibri"/>
                <w:sz w:val="22"/>
              </w:rPr>
              <w:t>$4,047</w:t>
            </w:r>
          </w:p>
        </w:tc>
        <w:tc>
          <w:tcPr>
            <w:tcW w:type="dxa" w:w="960"/>
          </w:tcPr>
          <w:p>
            <w:r>
              <w:rPr>
                <w:rFonts w:ascii="Calibri" w:hAnsi="Calibri"/>
                <w:b/>
                <w:color w:val="E5484D"/>
                <w:sz w:val="22"/>
              </w:rPr>
              <w:t>-0.9%</w:t>
            </w:r>
          </w:p>
        </w:tc>
        <w:tc>
          <w:tcPr>
            <w:tcW w:type="dxa" w:w="960"/>
          </w:tcPr>
          <w:p>
            <w:r>
              <w:rPr>
                <w:rFonts w:ascii="Calibri" w:hAnsi="Calibri"/>
                <w:b/>
                <w:color w:val="E5484D"/>
                <w:sz w:val="22"/>
              </w:rPr>
              <w:t>Miss</w:t>
            </w:r>
          </w:p>
        </w:tc>
      </w:tr>
      <w:tr>
        <w:tc>
          <w:tcPr>
            <w:tcW w:type="dxa" w:w="960"/>
          </w:tcPr>
          <w:p>
            <w:r>
              <w:rPr>
                <w:rFonts w:ascii="Calibri" w:hAnsi="Calibri"/>
                <w:sz w:val="22"/>
              </w:rPr>
              <w:t>Q4 2024</w:t>
            </w:r>
          </w:p>
        </w:tc>
        <w:tc>
          <w:tcPr>
            <w:tcW w:type="dxa" w:w="960"/>
          </w:tcPr>
          <w:p>
            <w:r>
              <w:rPr>
                <w:rFonts w:ascii="Calibri" w:hAnsi="Calibri"/>
                <w:sz w:val="22"/>
              </w:rPr>
              <w:t>$1.58</w:t>
            </w:r>
          </w:p>
        </w:tc>
        <w:tc>
          <w:tcPr>
            <w:tcW w:type="dxa" w:w="960"/>
          </w:tcPr>
          <w:p>
            <w:r>
              <w:rPr>
                <w:rFonts w:ascii="Calibri" w:hAnsi="Calibri"/>
                <w:sz w:val="22"/>
              </w:rPr>
              <w:t>$1.39</w:t>
            </w:r>
          </w:p>
        </w:tc>
        <w:tc>
          <w:tcPr>
            <w:tcW w:type="dxa" w:w="960"/>
          </w:tcPr>
          <w:p>
            <w:r>
              <w:rPr>
                <w:rFonts w:ascii="Calibri" w:hAnsi="Calibri"/>
                <w:b/>
                <w:color w:val="30A46C"/>
                <w:sz w:val="22"/>
              </w:rPr>
              <w:t>+13.7%</w:t>
            </w:r>
          </w:p>
        </w:tc>
        <w:tc>
          <w:tcPr>
            <w:tcW w:type="dxa" w:w="960"/>
          </w:tcPr>
          <w:p>
            <w:r>
              <w:rPr>
                <w:rFonts w:ascii="Calibri" w:hAnsi="Calibri"/>
                <w:b/>
                <w:color w:val="30A46C"/>
                <w:sz w:val="22"/>
              </w:rPr>
              <w:t>Beat</w:t>
            </w:r>
          </w:p>
        </w:tc>
        <w:tc>
          <w:tcPr>
            <w:tcW w:type="dxa" w:w="960"/>
          </w:tcPr>
          <w:p>
            <w:r>
              <w:rPr>
                <w:rFonts w:ascii="Calibri" w:hAnsi="Calibri"/>
                <w:sz w:val="22"/>
              </w:rPr>
              <w:t>$4,046</w:t>
            </w:r>
          </w:p>
        </w:tc>
        <w:tc>
          <w:tcPr>
            <w:tcW w:type="dxa" w:w="960"/>
          </w:tcPr>
          <w:p>
            <w:r>
              <w:rPr>
                <w:rFonts w:ascii="Calibri" w:hAnsi="Calibri"/>
                <w:sz w:val="22"/>
              </w:rPr>
              <w:t>$4,073</w:t>
            </w:r>
          </w:p>
        </w:tc>
        <w:tc>
          <w:tcPr>
            <w:tcW w:type="dxa" w:w="960"/>
          </w:tcPr>
          <w:p>
            <w:r>
              <w:rPr>
                <w:rFonts w:ascii="Calibri" w:hAnsi="Calibri"/>
                <w:b/>
                <w:color w:val="E5484D"/>
                <w:sz w:val="22"/>
              </w:rPr>
              <w:t>-0.7%</w:t>
            </w:r>
          </w:p>
        </w:tc>
        <w:tc>
          <w:tcPr>
            <w:tcW w:type="dxa" w:w="960"/>
          </w:tcPr>
          <w:p>
            <w:r>
              <w:rPr>
                <w:rFonts w:ascii="Calibri" w:hAnsi="Calibri"/>
                <w:b/>
                <w:color w:val="E5484D"/>
                <w:sz w:val="22"/>
              </w:rPr>
              <w:t>Miss</w:t>
            </w:r>
          </w:p>
        </w:tc>
      </w:tr>
      <w:tr>
        <w:tc>
          <w:tcPr>
            <w:tcW w:type="dxa" w:w="960"/>
          </w:tcPr>
          <w:p>
            <w:r>
              <w:rPr>
                <w:rFonts w:ascii="Calibri" w:hAnsi="Calibri"/>
                <w:sz w:val="22"/>
              </w:rPr>
              <w:t>Q3 2024</w:t>
            </w:r>
          </w:p>
        </w:tc>
        <w:tc>
          <w:tcPr>
            <w:tcW w:type="dxa" w:w="960"/>
          </w:tcPr>
          <w:p>
            <w:r>
              <w:rPr>
                <w:rFonts w:ascii="Calibri" w:hAnsi="Calibri"/>
                <w:sz w:val="22"/>
              </w:rPr>
              <w:t>$1.81</w:t>
            </w:r>
          </w:p>
        </w:tc>
        <w:tc>
          <w:tcPr>
            <w:tcW w:type="dxa" w:w="960"/>
          </w:tcPr>
          <w:p>
            <w:r>
              <w:rPr>
                <w:rFonts w:ascii="Calibri" w:hAnsi="Calibri"/>
                <w:sz w:val="22"/>
              </w:rPr>
              <w:t>$1.61</w:t>
            </w:r>
          </w:p>
        </w:tc>
        <w:tc>
          <w:tcPr>
            <w:tcW w:type="dxa" w:w="960"/>
          </w:tcPr>
          <w:p>
            <w:r>
              <w:rPr>
                <w:rFonts w:ascii="Calibri" w:hAnsi="Calibri"/>
                <w:b/>
                <w:color w:val="30A46C"/>
                <w:sz w:val="22"/>
              </w:rPr>
              <w:t>+12.4%</w:t>
            </w:r>
          </w:p>
        </w:tc>
        <w:tc>
          <w:tcPr>
            <w:tcW w:type="dxa" w:w="960"/>
          </w:tcPr>
          <w:p>
            <w:r>
              <w:rPr>
                <w:rFonts w:ascii="Calibri" w:hAnsi="Calibri"/>
                <w:b/>
                <w:color w:val="30A46C"/>
                <w:sz w:val="22"/>
              </w:rPr>
              <w:t>Beat</w:t>
            </w:r>
          </w:p>
        </w:tc>
        <w:tc>
          <w:tcPr>
            <w:tcW w:type="dxa" w:w="960"/>
          </w:tcPr>
          <w:p>
            <w:r>
              <w:rPr>
                <w:rFonts w:ascii="Calibri" w:hAnsi="Calibri"/>
                <w:sz w:val="22"/>
              </w:rPr>
              <w:t>$4,076</w:t>
            </w:r>
          </w:p>
        </w:tc>
        <w:tc>
          <w:tcPr>
            <w:tcW w:type="dxa" w:w="960"/>
          </w:tcPr>
          <w:p>
            <w:r>
              <w:rPr>
                <w:rFonts w:ascii="Calibri" w:hAnsi="Calibri"/>
                <w:sz w:val="22"/>
              </w:rPr>
              <w:t>$4,122</w:t>
            </w:r>
          </w:p>
        </w:tc>
        <w:tc>
          <w:tcPr>
            <w:tcW w:type="dxa" w:w="960"/>
          </w:tcPr>
          <w:p>
            <w:r>
              <w:rPr>
                <w:rFonts w:ascii="Calibri" w:hAnsi="Calibri"/>
                <w:b/>
                <w:color w:val="E5484D"/>
                <w:sz w:val="22"/>
              </w:rPr>
              <w:t>-1.1%</w:t>
            </w:r>
          </w:p>
        </w:tc>
        <w:tc>
          <w:tcPr>
            <w:tcW w:type="dxa" w:w="960"/>
          </w:tcPr>
          <w:p>
            <w:r>
              <w:rPr>
                <w:rFonts w:ascii="Calibri" w:hAnsi="Calibri"/>
                <w:b/>
                <w:color w:val="E5484D"/>
                <w:sz w:val="22"/>
              </w:rPr>
              <w:t>Miss</w:t>
            </w:r>
          </w:p>
        </w:tc>
      </w:tr>
      <w:tr>
        <w:tc>
          <w:tcPr>
            <w:tcW w:type="dxa" w:w="960"/>
          </w:tcPr>
          <w:p>
            <w:r>
              <w:rPr>
                <w:rFonts w:ascii="Calibri" w:hAnsi="Calibri"/>
                <w:sz w:val="22"/>
              </w:rPr>
              <w:t>Q2 2024</w:t>
            </w:r>
          </w:p>
        </w:tc>
        <w:tc>
          <w:tcPr>
            <w:tcW w:type="dxa" w:w="960"/>
          </w:tcPr>
          <w:p>
            <w:r>
              <w:rPr>
                <w:rFonts w:ascii="Calibri" w:hAnsi="Calibri"/>
                <w:sz w:val="22"/>
              </w:rPr>
              <w:t>$1.77</w:t>
            </w:r>
          </w:p>
        </w:tc>
        <w:tc>
          <w:tcPr>
            <w:tcW w:type="dxa" w:w="960"/>
          </w:tcPr>
          <w:p>
            <w:r>
              <w:rPr>
                <w:rFonts w:ascii="Calibri" w:hAnsi="Calibri"/>
                <w:sz w:val="22"/>
              </w:rPr>
              <w:t>$1.75</w:t>
            </w:r>
          </w:p>
        </w:tc>
        <w:tc>
          <w:tcPr>
            <w:tcW w:type="dxa" w:w="960"/>
          </w:tcPr>
          <w:p>
            <w:r>
              <w:rPr>
                <w:rFonts w:ascii="Calibri" w:hAnsi="Calibri"/>
                <w:b/>
                <w:color w:val="30A46C"/>
                <w:sz w:val="22"/>
              </w:rPr>
              <w:t>+1.1%</w:t>
            </w:r>
          </w:p>
        </w:tc>
        <w:tc>
          <w:tcPr>
            <w:tcW w:type="dxa" w:w="960"/>
          </w:tcPr>
          <w:p>
            <w:r>
              <w:rPr>
                <w:rFonts w:ascii="Calibri" w:hAnsi="Calibri"/>
                <w:b/>
                <w:color w:val="30A46C"/>
                <w:sz w:val="22"/>
              </w:rPr>
              <w:t>Beat</w:t>
            </w:r>
          </w:p>
        </w:tc>
        <w:tc>
          <w:tcPr>
            <w:tcW w:type="dxa" w:w="960"/>
          </w:tcPr>
          <w:p>
            <w:r>
              <w:rPr>
                <w:rFonts w:ascii="Calibri" w:hAnsi="Calibri"/>
                <w:sz w:val="22"/>
              </w:rPr>
              <w:t>$4,235</w:t>
            </w:r>
          </w:p>
        </w:tc>
        <w:tc>
          <w:tcPr>
            <w:tcW w:type="dxa" w:w="960"/>
          </w:tcPr>
          <w:p>
            <w:r>
              <w:rPr>
                <w:rFonts w:ascii="Calibri" w:hAnsi="Calibri"/>
                <w:sz w:val="22"/>
              </w:rPr>
              <w:t>$4,263</w:t>
            </w:r>
          </w:p>
        </w:tc>
        <w:tc>
          <w:tcPr>
            <w:tcW w:type="dxa" w:w="960"/>
          </w:tcPr>
          <w:p>
            <w:r>
              <w:rPr>
                <w:rFonts w:ascii="Calibri" w:hAnsi="Calibri"/>
                <w:b/>
                <w:color w:val="E5484D"/>
                <w:sz w:val="22"/>
              </w:rPr>
              <w:t>-0.7%</w:t>
            </w:r>
          </w:p>
        </w:tc>
        <w:tc>
          <w:tcPr>
            <w:tcW w:type="dxa" w:w="960"/>
          </w:tcPr>
          <w:p>
            <w:r>
              <w:rPr>
                <w:rFonts w:ascii="Calibri" w:hAnsi="Calibri"/>
                <w:b/>
                <w:color w:val="E5484D"/>
                <w:sz w:val="22"/>
              </w:rPr>
              <w:t>Miss</w:t>
            </w:r>
          </w:p>
        </w:tc>
      </w:tr>
    </w:tbl>
    <w:p>
      <w:r>
        <w:rPr>
          <w:rFonts w:ascii="Calibri" w:hAnsi="Calibri"/>
          <w:b/>
          <w:color w:val="525866"/>
          <w:sz w:val="22"/>
        </w:rPr>
        <w:t xml:space="preserve">Pattern: </w:t>
      </w:r>
      <w:r>
        <w:rPr>
          <w:rFonts w:ascii="Calibri" w:hAnsi="Calibri"/>
          <w:color w:val="525866"/>
          <w:sz w:val="22"/>
        </w:rPr>
        <w:t>RSG has beaten adjusted EPS consensus in all 8 of the last 8 quarters, with beats ranging from +1% to +14%. Revenue has consistently come in slightly below consensus (6 of 8 quarters), suggesting the Street tends to over-estimate top-line while under-estimating cost discipline and margin. This pattern favors an EPS beat even if revenue is in-line or slightly light.</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Full-year guidance has been </w:t>
      </w:r>
      <w:r>
        <w:rPr>
          <w:rFonts w:ascii="Calibri" w:hAnsi="Calibri"/>
          <w:b/>
          <w:color w:val="525866"/>
          <w:sz w:val="22"/>
        </w:rPr>
        <w:t>reaffirmed and unchanged</w:t>
      </w:r>
      <w:r>
        <w:rPr>
          <w:rFonts w:ascii="Calibri" w:hAnsi="Calibri"/>
          <w:color w:val="525866"/>
          <w:sz w:val="22"/>
        </w:rPr>
        <w:t xml:space="preserve"> since the Q1 2026 earnings call on May 7, 2026. The only post-earnings corporate action was a dividend increase on July 28, 2026, which signals management confidence in cash flow generation. No guidance revisions, pre-announcements, or 8-K updates have altered the financial outlook.</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7,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Revenue</w:t>
            </w:r>
          </w:p>
        </w:tc>
        <w:tc>
          <w:tcPr>
            <w:tcW w:type="dxa" w:w="1728"/>
          </w:tcPr>
          <w:p>
            <w:r>
              <w:rPr>
                <w:rFonts w:ascii="Calibri" w:hAnsi="Calibri"/>
                <w:sz w:val="22"/>
              </w:rPr>
              <w:t>~$17.2B (reaffirmed Feb. guidance)</w:t>
            </w:r>
          </w:p>
        </w:tc>
        <w:tc>
          <w:tcPr>
            <w:tcW w:type="dxa" w:w="1728"/>
          </w:tcPr>
          <w:p>
            <w:r>
              <w:rPr>
                <w:rFonts w:ascii="Calibri" w:hAnsi="Calibri"/>
                <w:sz w:val="22"/>
              </w:rPr>
              <w:t>—</w:t>
            </w:r>
          </w:p>
        </w:tc>
        <w:tc>
          <w:tcPr>
            <w:tcW w:type="dxa" w:w="1728"/>
          </w:tcPr>
          <w:p>
            <w:r>
              <w:rPr>
                <w:rFonts w:ascii="Calibri" w:hAnsi="Calibri"/>
                <w:sz w:val="22"/>
              </w:rPr>
              <w:t>$17.21B</w:t>
            </w:r>
          </w:p>
        </w:tc>
        <w:tc>
          <w:tcPr>
            <w:tcW w:type="dxa" w:w="1728"/>
          </w:tcPr>
          <w:p>
            <w:r>
              <w:rPr>
                <w:rFonts w:ascii="Calibri" w:hAnsi="Calibri"/>
                <w:sz w:val="22"/>
              </w:rPr>
              <w:t>Unchanged; consensus in line with guidance</w:t>
            </w:r>
          </w:p>
        </w:tc>
      </w:tr>
      <w:tr>
        <w:tc>
          <w:tcPr>
            <w:tcW w:type="dxa" w:w="1728"/>
          </w:tcPr>
          <w:p>
            <w:r>
              <w:rPr>
                <w:rFonts w:ascii="Calibri" w:hAnsi="Calibri"/>
                <w:sz w:val="22"/>
              </w:rPr>
              <w:t>FY 2026 Adj. EBITDA</w:t>
            </w:r>
          </w:p>
        </w:tc>
        <w:tc>
          <w:tcPr>
            <w:tcW w:type="dxa" w:w="1728"/>
          </w:tcPr>
          <w:p>
            <w:r>
              <w:rPr>
                <w:rFonts w:ascii="Calibri" w:hAnsi="Calibri"/>
                <w:sz w:val="22"/>
              </w:rPr>
              <w:t>~$5.53B (reaffirmed)</w:t>
            </w:r>
          </w:p>
        </w:tc>
        <w:tc>
          <w:tcPr>
            <w:tcW w:type="dxa" w:w="1728"/>
          </w:tcPr>
          <w:p>
            <w:r>
              <w:rPr>
                <w:rFonts w:ascii="Calibri" w:hAnsi="Calibri"/>
                <w:sz w:val="22"/>
              </w:rPr>
              <w:t>—</w:t>
            </w:r>
          </w:p>
        </w:tc>
        <w:tc>
          <w:tcPr>
            <w:tcW w:type="dxa" w:w="1728"/>
          </w:tcPr>
          <w:p>
            <w:r>
              <w:rPr>
                <w:rFonts w:ascii="Calibri" w:hAnsi="Calibri"/>
                <w:sz w:val="22"/>
              </w:rPr>
              <w:t>$5.53B</w:t>
            </w:r>
          </w:p>
        </w:tc>
        <w:tc>
          <w:tcPr>
            <w:tcW w:type="dxa" w:w="1728"/>
          </w:tcPr>
          <w:p>
            <w:r>
              <w:rPr>
                <w:rFonts w:ascii="Calibri" w:hAnsi="Calibri"/>
                <w:sz w:val="22"/>
              </w:rPr>
              <w:t>Unchanged; consensus tracking guidance</w:t>
            </w:r>
          </w:p>
        </w:tc>
      </w:tr>
      <w:tr>
        <w:tc>
          <w:tcPr>
            <w:tcW w:type="dxa" w:w="1728"/>
          </w:tcPr>
          <w:p>
            <w:r>
              <w:rPr>
                <w:rFonts w:ascii="Calibri" w:hAnsi="Calibri"/>
                <w:sz w:val="22"/>
              </w:rPr>
              <w:t>FY 2026 Adj. EPS</w:t>
            </w:r>
          </w:p>
        </w:tc>
        <w:tc>
          <w:tcPr>
            <w:tcW w:type="dxa" w:w="1728"/>
          </w:tcPr>
          <w:p>
            <w:r>
              <w:rPr>
                <w:rFonts w:ascii="Calibri" w:hAnsi="Calibri"/>
                <w:sz w:val="22"/>
              </w:rPr>
              <w:t>~$7.30 (reaffirmed)</w:t>
            </w:r>
          </w:p>
        </w:tc>
        <w:tc>
          <w:tcPr>
            <w:tcW w:type="dxa" w:w="1728"/>
          </w:tcPr>
          <w:p>
            <w:r>
              <w:rPr>
                <w:rFonts w:ascii="Calibri" w:hAnsi="Calibri"/>
                <w:sz w:val="22"/>
              </w:rPr>
              <w:t>—</w:t>
            </w:r>
          </w:p>
        </w:tc>
        <w:tc>
          <w:tcPr>
            <w:tcW w:type="dxa" w:w="1728"/>
          </w:tcPr>
          <w:p>
            <w:r>
              <w:rPr>
                <w:rFonts w:ascii="Calibri" w:hAnsi="Calibri"/>
                <w:sz w:val="22"/>
              </w:rPr>
              <w:t>$7.30</w:t>
            </w:r>
          </w:p>
        </w:tc>
        <w:tc>
          <w:tcPr>
            <w:tcW w:type="dxa" w:w="1728"/>
          </w:tcPr>
          <w:p>
            <w:r>
              <w:rPr>
                <w:rFonts w:ascii="Calibri" w:hAnsi="Calibri"/>
                <w:sz w:val="22"/>
              </w:rPr>
              <w:t>Unchanged; consensus at guidance midpoint</w:t>
            </w:r>
          </w:p>
        </w:tc>
      </w:tr>
      <w:tr>
        <w:tc>
          <w:tcPr>
            <w:tcW w:type="dxa" w:w="1728"/>
          </w:tcPr>
          <w:p>
            <w:r>
              <w:rPr>
                <w:rFonts w:ascii="Calibri" w:hAnsi="Calibri"/>
                <w:sz w:val="22"/>
              </w:rPr>
              <w:t>Q2 2026 EBITDA Margin</w:t>
            </w:r>
          </w:p>
        </w:tc>
        <w:tc>
          <w:tcPr>
            <w:tcW w:type="dxa" w:w="1728"/>
          </w:tcPr>
          <w:p>
            <w:r>
              <w:rPr>
                <w:rFonts w:ascii="Calibri" w:hAnsi="Calibri"/>
                <w:sz w:val="22"/>
              </w:rPr>
              <w:t>"Somewhat flat to slightly down YoY" (CFO commentary)</w:t>
            </w:r>
          </w:p>
        </w:tc>
        <w:tc>
          <w:tcPr>
            <w:tcW w:type="dxa" w:w="1728"/>
          </w:tcPr>
          <w:p>
            <w:r>
              <w:rPr>
                <w:rFonts w:ascii="Calibri" w:hAnsi="Calibri"/>
                <w:sz w:val="22"/>
              </w:rPr>
              <w:t>—</w:t>
            </w:r>
          </w:p>
        </w:tc>
        <w:tc>
          <w:tcPr>
            <w:tcW w:type="dxa" w:w="1728"/>
          </w:tcPr>
          <w:p>
            <w:r>
              <w:rPr>
                <w:rFonts w:ascii="Calibri" w:hAnsi="Calibri"/>
                <w:sz w:val="22"/>
              </w:rPr>
              <w:t>~31.9% (vs. 32.1% in Q2 2025)</w:t>
            </w:r>
          </w:p>
        </w:tc>
        <w:tc>
          <w:tcPr>
            <w:tcW w:type="dxa" w:w="1728"/>
          </w:tcPr>
          <w:p>
            <w:r>
              <w:rPr>
                <w:rFonts w:ascii="Calibri" w:hAnsi="Calibri"/>
                <w:sz w:val="22"/>
              </w:rPr>
              <w:t>Consistent with guidance; driven by project-related landfill volume comp</w:t>
            </w:r>
          </w:p>
        </w:tc>
      </w:tr>
      <w:tr>
        <w:tc>
          <w:tcPr>
            <w:tcW w:type="dxa" w:w="1728"/>
          </w:tcPr>
          <w:p>
            <w:r>
              <w:rPr>
                <w:rFonts w:ascii="Calibri" w:hAnsi="Calibri"/>
                <w:sz w:val="22"/>
              </w:rPr>
              <w:t>Q2 2026 Volume</w:t>
            </w:r>
          </w:p>
        </w:tc>
        <w:tc>
          <w:tcPr>
            <w:tcW w:type="dxa" w:w="1728"/>
          </w:tcPr>
          <w:p>
            <w:r>
              <w:rPr>
                <w:rFonts w:ascii="Calibri" w:hAnsi="Calibri"/>
                <w:sz w:val="22"/>
              </w:rPr>
              <w:t>Negative in Q2 &amp; Q3; positive in Q4</w:t>
            </w:r>
          </w:p>
        </w:tc>
        <w:tc>
          <w:tcPr>
            <w:tcW w:type="dxa" w:w="1728"/>
          </w:tcPr>
          <w:p>
            <w:r>
              <w:rPr>
                <w:rFonts w:ascii="Calibri" w:hAnsi="Calibri"/>
                <w:sz w:val="22"/>
              </w:rPr>
              <w:t>—</w:t>
            </w:r>
          </w:p>
        </w:tc>
        <w:tc>
          <w:tcPr>
            <w:tcW w:type="dxa" w:w="1728"/>
          </w:tcPr>
          <w:p>
            <w:r>
              <w:rPr>
                <w:rFonts w:ascii="Calibri" w:hAnsi="Calibri"/>
                <w:sz w:val="22"/>
              </w:rPr>
              <w:t>~-1.6%</w:t>
            </w:r>
          </w:p>
        </w:tc>
        <w:tc>
          <w:tcPr>
            <w:tcW w:type="dxa" w:w="1728"/>
          </w:tcPr>
          <w:p>
            <w:r>
              <w:rPr>
                <w:rFonts w:ascii="Calibri" w:hAnsi="Calibri"/>
                <w:sz w:val="22"/>
              </w:rPr>
              <w:t>Consistent with guidance</w:t>
            </w:r>
          </w:p>
        </w:tc>
      </w:tr>
      <w:tr>
        <w:tc>
          <w:tcPr>
            <w:tcW w:type="dxa" w:w="1728"/>
          </w:tcPr>
          <w:p>
            <w:r>
              <w:rPr>
                <w:rFonts w:ascii="Calibri" w:hAnsi="Calibri"/>
                <w:sz w:val="22"/>
              </w:rPr>
              <w:t>ES Revenue (H2 2026)</w:t>
            </w:r>
          </w:p>
        </w:tc>
        <w:tc>
          <w:tcPr>
            <w:tcW w:type="dxa" w:w="1728"/>
          </w:tcPr>
          <w:p>
            <w:r>
              <w:rPr>
                <w:rFonts w:ascii="Calibri" w:hAnsi="Calibri"/>
                <w:sz w:val="22"/>
              </w:rPr>
              <w:t>YoY growth expected in H2 2026</w:t>
            </w:r>
          </w:p>
        </w:tc>
        <w:tc>
          <w:tcPr>
            <w:tcW w:type="dxa" w:w="1728"/>
          </w:tcPr>
          <w:p>
            <w:r>
              <w:rPr>
                <w:rFonts w:ascii="Calibri" w:hAnsi="Calibri"/>
                <w:sz w:val="22"/>
              </w:rPr>
              <w:t>—</w:t>
            </w:r>
          </w:p>
        </w:tc>
        <w:tc>
          <w:tcPr>
            <w:tcW w:type="dxa" w:w="1728"/>
          </w:tcPr>
          <w:p>
            <w:r>
              <w:rPr>
                <w:rFonts w:ascii="Calibri" w:hAnsi="Calibri"/>
                <w:sz w:val="22"/>
              </w:rPr>
              <w:t>~$446M in Q2 (still declining YoY)</w:t>
            </w:r>
          </w:p>
        </w:tc>
        <w:tc>
          <w:tcPr>
            <w:tcW w:type="dxa" w:w="1728"/>
          </w:tcPr>
          <w:p>
            <w:r>
              <w:rPr>
                <w:rFonts w:ascii="Calibri" w:hAnsi="Calibri"/>
                <w:sz w:val="22"/>
              </w:rPr>
              <w:t>Q2 still a tough comp; inflection expected in Q3/Q4</w:t>
            </w:r>
          </w:p>
        </w:tc>
      </w:tr>
      <w:tr>
        <w:tc>
          <w:tcPr>
            <w:tcW w:type="dxa" w:w="1728"/>
          </w:tcPr>
          <w:p>
            <w:r>
              <w:rPr>
                <w:rFonts w:ascii="Calibri" w:hAnsi="Calibri"/>
                <w:sz w:val="22"/>
              </w:rPr>
              <w:t>Quarterly Dividend</w:t>
            </w:r>
          </w:p>
        </w:tc>
        <w:tc>
          <w:tcPr>
            <w:tcW w:type="dxa" w:w="1728"/>
          </w:tcPr>
          <w:p>
            <w:r>
              <w:rPr>
                <w:rFonts w:ascii="Calibri" w:hAnsi="Calibri"/>
                <w:sz w:val="22"/>
              </w:rPr>
              <w:t>$0.625/share (declared May 5, 2026)</w:t>
            </w:r>
          </w:p>
        </w:tc>
        <w:tc>
          <w:tcPr>
            <w:tcW w:type="dxa" w:w="1728"/>
          </w:tcPr>
          <w:p>
            <w:r>
              <w:rPr>
                <w:rFonts w:ascii="Calibri" w:hAnsi="Calibri"/>
                <w:sz w:val="22"/>
              </w:rPr>
              <w:t>↑ Raised to $0.670/share (July 28, 2026)</w:t>
            </w:r>
          </w:p>
        </w:tc>
        <w:tc>
          <w:tcPr>
            <w:tcW w:type="dxa" w:w="1728"/>
          </w:tcPr>
          <w:p>
            <w:r>
              <w:rPr>
                <w:rFonts w:ascii="Calibri" w:hAnsi="Calibri"/>
                <w:sz w:val="22"/>
              </w:rPr>
              <w:t>$0.670/share</w:t>
            </w:r>
          </w:p>
        </w:tc>
        <w:tc>
          <w:tcPr>
            <w:tcW w:type="dxa" w:w="1728"/>
          </w:tcPr>
          <w:p>
            <w:r>
              <w:rPr>
                <w:rFonts w:ascii="Calibri" w:hAnsi="Calibri"/>
                <w:sz w:val="22"/>
              </w:rPr>
              <w:t>↑ +7.2% increase; signals management confidence in FCF; payable Oct. 15, 2026</w:t>
            </w:r>
          </w:p>
        </w:tc>
      </w:tr>
    </w:tbl>
    <w:p>
      <w:r>
        <w:rPr>
          <w:rFonts w:ascii="Calibri" w:hAnsi="Calibri"/>
          <w:i/>
          <w:color w:val="525866"/>
          <w:sz w:val="22"/>
        </w:rPr>
        <w:t>Sources: RSG Q1 2026 Earnings Call Transcript (May 7, 2026); RSG 8-K filed July 29, 2026 (dividend increase); RSG 8-K filed May 7,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remarkably stable since the Q1 print — Q2 EPS drifted only -$0.01 and FY EPS is essentially flat — indicating the Street has fully digested the tough-comp narrative and is not pricing in incremental risk or upside. The gap between consensus and guidance is negligible, leaving the stock exposed to any guidance change in either direction.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14, 2026)</w:t>
            </w:r>
          </w:p>
        </w:tc>
        <w:tc>
          <w:tcPr>
            <w:tcW w:type="dxa" w:w="1080"/>
            <w:shd w:val="clear" w:color="auto" w:fill="3B4259"/>
          </w:tcPr>
          <w:p>
            <w:r>
              <w:rPr>
                <w:rFonts w:ascii="Calibri" w:hAnsi="Calibri"/>
                <w:b/>
                <w:color w:val="FFFFFF"/>
                <w:sz w:val="22"/>
              </w:rPr>
              <w:t>Current Consensus (Aug. 5,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w:t>
            </w:r>
          </w:p>
        </w:tc>
      </w:tr>
      <w:tr>
        <w:tc>
          <w:tcPr>
            <w:tcW w:type="dxa" w:w="1080"/>
          </w:tcPr>
          <w:p>
            <w:r>
              <w:rPr>
                <w:rFonts w:ascii="Calibri" w:hAnsi="Calibri"/>
                <w:sz w:val="22"/>
              </w:rPr>
              <w:t>Revenue — Q2 2026</w:t>
            </w:r>
          </w:p>
        </w:tc>
        <w:tc>
          <w:tcPr>
            <w:tcW w:type="dxa" w:w="1080"/>
          </w:tcPr>
          <w:p>
            <w:r>
              <w:rPr>
                <w:rFonts w:ascii="Calibri" w:hAnsi="Calibri"/>
                <w:sz w:val="22"/>
              </w:rPr>
              <w:t>$4,357M</w:t>
            </w:r>
          </w:p>
        </w:tc>
        <w:tc>
          <w:tcPr>
            <w:tcW w:type="dxa" w:w="1080"/>
          </w:tcPr>
          <w:p>
            <w:r>
              <w:rPr>
                <w:rFonts w:ascii="Calibri" w:hAnsi="Calibri"/>
                <w:sz w:val="22"/>
              </w:rPr>
              <w:t>$4,363M</w:t>
            </w:r>
          </w:p>
        </w:tc>
        <w:tc>
          <w:tcPr>
            <w:tcW w:type="dxa" w:w="1080"/>
          </w:tcPr>
          <w:p>
            <w:r>
              <w:rPr>
                <w:rFonts w:ascii="Calibri" w:hAnsi="Calibri"/>
                <w:sz w:val="22"/>
              </w:rPr>
              <w:t>+0.1%</w:t>
            </w:r>
          </w:p>
        </w:tc>
        <w:tc>
          <w:tcPr>
            <w:tcW w:type="dxa" w:w="1080"/>
          </w:tcPr>
          <w:p>
            <w:r>
              <w:rPr>
                <w:rFonts w:ascii="Calibri" w:hAnsi="Calibri"/>
                <w:sz w:val="22"/>
              </w:rPr>
              <w:t>No specific Q2 guide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EPS — Q2 2026</w:t>
            </w:r>
          </w:p>
        </w:tc>
        <w:tc>
          <w:tcPr>
            <w:tcW w:type="dxa" w:w="1080"/>
          </w:tcPr>
          <w:p>
            <w:r>
              <w:rPr>
                <w:rFonts w:ascii="Calibri" w:hAnsi="Calibri"/>
                <w:sz w:val="22"/>
              </w:rPr>
              <w:t>$1.83</w:t>
            </w:r>
          </w:p>
        </w:tc>
        <w:tc>
          <w:tcPr>
            <w:tcW w:type="dxa" w:w="1080"/>
          </w:tcPr>
          <w:p>
            <w:r>
              <w:rPr>
                <w:rFonts w:ascii="Calibri" w:hAnsi="Calibri"/>
                <w:sz w:val="22"/>
              </w:rPr>
              <w:t>$1.82</w:t>
            </w:r>
          </w:p>
        </w:tc>
        <w:tc>
          <w:tcPr>
            <w:tcW w:type="dxa" w:w="1080"/>
          </w:tcPr>
          <w:p>
            <w:r>
              <w:rPr>
                <w:rFonts w:ascii="Calibri" w:hAnsi="Calibri"/>
                <w:sz w:val="22"/>
              </w:rPr>
              <w:t>-0.5%</w:t>
            </w:r>
          </w:p>
        </w:tc>
        <w:tc>
          <w:tcPr>
            <w:tcW w:type="dxa" w:w="1080"/>
          </w:tcPr>
          <w:p>
            <w:r>
              <w:rPr>
                <w:rFonts w:ascii="Calibri" w:hAnsi="Calibri"/>
                <w:sz w:val="22"/>
              </w:rPr>
              <w:t>No specific Q2 guide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EBITDA — Q2 2026</w:t>
            </w:r>
          </w:p>
        </w:tc>
        <w:tc>
          <w:tcPr>
            <w:tcW w:type="dxa" w:w="1080"/>
          </w:tcPr>
          <w:p>
            <w:r>
              <w:rPr>
                <w:rFonts w:ascii="Calibri" w:hAnsi="Calibri"/>
                <w:sz w:val="22"/>
              </w:rPr>
              <w:t>$1,392M</w:t>
            </w:r>
          </w:p>
        </w:tc>
        <w:tc>
          <w:tcPr>
            <w:tcW w:type="dxa" w:w="1080"/>
          </w:tcPr>
          <w:p>
            <w:r>
              <w:rPr>
                <w:rFonts w:ascii="Calibri" w:hAnsi="Calibri"/>
                <w:sz w:val="22"/>
              </w:rPr>
              <w:t>$1,391M</w:t>
            </w:r>
          </w:p>
        </w:tc>
        <w:tc>
          <w:tcPr>
            <w:tcW w:type="dxa" w:w="1080"/>
          </w:tcPr>
          <w:p>
            <w:r>
              <w:rPr>
                <w:rFonts w:ascii="Calibri" w:hAnsi="Calibri"/>
                <w:sz w:val="22"/>
              </w:rPr>
              <w:t>-0.1%</w:t>
            </w:r>
          </w:p>
        </w:tc>
        <w:tc>
          <w:tcPr>
            <w:tcW w:type="dxa" w:w="1080"/>
          </w:tcPr>
          <w:p>
            <w:r>
              <w:rPr>
                <w:rFonts w:ascii="Calibri" w:hAnsi="Calibri"/>
                <w:sz w:val="22"/>
              </w:rPr>
              <w:t>"Flat to slightly down" YoY margin</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Consistent</w:t>
            </w:r>
          </w:p>
        </w:tc>
      </w:tr>
      <w:tr>
        <w:tc>
          <w:tcPr>
            <w:tcW w:type="dxa" w:w="1080"/>
          </w:tcPr>
          <w:p>
            <w:r>
              <w:rPr>
                <w:rFonts w:ascii="Calibri" w:hAnsi="Calibri"/>
                <w:sz w:val="22"/>
              </w:rPr>
              <w:t>Revenue — FY 2026</w:t>
            </w:r>
          </w:p>
        </w:tc>
        <w:tc>
          <w:tcPr>
            <w:tcW w:type="dxa" w:w="1080"/>
          </w:tcPr>
          <w:p>
            <w:r>
              <w:rPr>
                <w:rFonts w:ascii="Calibri" w:hAnsi="Calibri"/>
                <w:sz w:val="22"/>
              </w:rPr>
              <w:t>$17,199M</w:t>
            </w:r>
          </w:p>
        </w:tc>
        <w:tc>
          <w:tcPr>
            <w:tcW w:type="dxa" w:w="1080"/>
          </w:tcPr>
          <w:p>
            <w:r>
              <w:rPr>
                <w:rFonts w:ascii="Calibri" w:hAnsi="Calibri"/>
                <w:sz w:val="22"/>
              </w:rPr>
              <w:t>$17,208M</w:t>
            </w:r>
          </w:p>
        </w:tc>
        <w:tc>
          <w:tcPr>
            <w:tcW w:type="dxa" w:w="1080"/>
          </w:tcPr>
          <w:p>
            <w:r>
              <w:rPr>
                <w:rFonts w:ascii="Calibri" w:hAnsi="Calibri"/>
                <w:sz w:val="22"/>
              </w:rPr>
              <w:t>+0.1%</w:t>
            </w:r>
          </w:p>
        </w:tc>
        <w:tc>
          <w:tcPr>
            <w:tcW w:type="dxa" w:w="1080"/>
          </w:tcPr>
          <w:p>
            <w:r>
              <w:rPr>
                <w:rFonts w:ascii="Calibri" w:hAnsi="Calibri"/>
                <w:sz w:val="22"/>
              </w:rPr>
              <w:t>~$17.2B (reaffirmed)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~Flat to guidance</w:t>
            </w:r>
          </w:p>
        </w:tc>
      </w:tr>
      <w:tr>
        <w:tc>
          <w:tcPr>
            <w:tcW w:type="dxa" w:w="1080"/>
          </w:tcPr>
          <w:p>
            <w:r>
              <w:rPr>
                <w:rFonts w:ascii="Calibri" w:hAnsi="Calibri"/>
                <w:sz w:val="22"/>
              </w:rPr>
              <w:t>Adj. EPS — FY 2026</w:t>
            </w:r>
          </w:p>
        </w:tc>
        <w:tc>
          <w:tcPr>
            <w:tcW w:type="dxa" w:w="1080"/>
          </w:tcPr>
          <w:p>
            <w:r>
              <w:rPr>
                <w:rFonts w:ascii="Calibri" w:hAnsi="Calibri"/>
                <w:sz w:val="22"/>
              </w:rPr>
              <w:t>$7.29</w:t>
            </w:r>
          </w:p>
        </w:tc>
        <w:tc>
          <w:tcPr>
            <w:tcW w:type="dxa" w:w="1080"/>
          </w:tcPr>
          <w:p>
            <w:r>
              <w:rPr>
                <w:rFonts w:ascii="Calibri" w:hAnsi="Calibri"/>
                <w:sz w:val="22"/>
              </w:rPr>
              <w:t>$7.30</w:t>
            </w:r>
          </w:p>
        </w:tc>
        <w:tc>
          <w:tcPr>
            <w:tcW w:type="dxa" w:w="1080"/>
          </w:tcPr>
          <w:p>
            <w:r>
              <w:rPr>
                <w:rFonts w:ascii="Calibri" w:hAnsi="Calibri"/>
                <w:sz w:val="22"/>
              </w:rPr>
              <w:t>+0.1%</w:t>
            </w:r>
          </w:p>
        </w:tc>
        <w:tc>
          <w:tcPr>
            <w:tcW w:type="dxa" w:w="1080"/>
          </w:tcPr>
          <w:p>
            <w:r>
              <w:rPr>
                <w:rFonts w:ascii="Calibri" w:hAnsi="Calibri"/>
                <w:sz w:val="22"/>
              </w:rPr>
              <w:t>~$7.30 (reaffirmed)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~Flat to guidance</w:t>
            </w:r>
          </w:p>
        </w:tc>
      </w:tr>
      <w:tr>
        <w:tc>
          <w:tcPr>
            <w:tcW w:type="dxa" w:w="1080"/>
          </w:tcPr>
          <w:p>
            <w:r>
              <w:rPr>
                <w:rFonts w:ascii="Calibri" w:hAnsi="Calibri"/>
                <w:sz w:val="22"/>
              </w:rPr>
              <w:t>Adj. EBITDA — FY 2026</w:t>
            </w:r>
          </w:p>
        </w:tc>
        <w:tc>
          <w:tcPr>
            <w:tcW w:type="dxa" w:w="1080"/>
          </w:tcPr>
          <w:p>
            <w:r>
              <w:rPr>
                <w:rFonts w:ascii="Calibri" w:hAnsi="Calibri"/>
                <w:sz w:val="22"/>
              </w:rPr>
              <w:t>$5,525M</w:t>
            </w:r>
          </w:p>
        </w:tc>
        <w:tc>
          <w:tcPr>
            <w:tcW w:type="dxa" w:w="1080"/>
          </w:tcPr>
          <w:p>
            <w:r>
              <w:rPr>
                <w:rFonts w:ascii="Calibri" w:hAnsi="Calibri"/>
                <w:sz w:val="22"/>
              </w:rPr>
              <w:t>$5,531M</w:t>
            </w:r>
          </w:p>
        </w:tc>
        <w:tc>
          <w:tcPr>
            <w:tcW w:type="dxa" w:w="1080"/>
          </w:tcPr>
          <w:p>
            <w:r>
              <w:rPr>
                <w:rFonts w:ascii="Calibri" w:hAnsi="Calibri"/>
                <w:sz w:val="22"/>
              </w:rPr>
              <w:t>+0.1%</w:t>
            </w:r>
          </w:p>
        </w:tc>
        <w:tc>
          <w:tcPr>
            <w:tcW w:type="dxa" w:w="1080"/>
          </w:tcPr>
          <w:p>
            <w:r>
              <w:rPr>
                <w:rFonts w:ascii="Calibri" w:hAnsi="Calibri"/>
                <w:sz w:val="22"/>
              </w:rPr>
              <w:t>~$5.53B (reaffirmed)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~Flat to guidance</w:t>
            </w:r>
          </w:p>
        </w:tc>
      </w:tr>
    </w:tbl>
    <w:p>
      <w:r>
        <w:rPr>
          <w:rFonts w:ascii="Calibri" w:hAnsi="Calibri"/>
          <w:i/>
          <w:color w:val="525866"/>
          <w:sz w:val="22"/>
        </w:rPr>
        <w:t>Source: Visible Alpha Consensus and Actuals Data (as-of date May 14, 2026 for baseline; latest as of August 5, 2026 for current).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RSG has </w:t>
      </w:r>
      <w:r>
        <w:rPr>
          <w:rFonts w:ascii="Calibri" w:hAnsi="Calibri"/>
          <w:b/>
          <w:color w:val="525866"/>
          <w:sz w:val="22"/>
        </w:rPr>
        <w:t>underperformed both the S&amp;P 500 and the XLI Industrials ETF</w:t>
      </w:r>
      <w:r>
        <w:rPr>
          <w:rFonts w:ascii="Calibri" w:hAnsi="Calibri"/>
          <w:color w:val="525866"/>
          <w:sz w:val="22"/>
        </w:rPr>
        <w:t xml:space="preserve"> since Q1 earnings on May 7, 2026, driven almost entirely by multiple compression (EV/EBITDA contracted ~3% over 1 month, ~12% over 12 months) rather than estimate cuts — suggesting the market is re-rating the stock toward a lower premium, not pricing in a fundamental deterioration.</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RSG vs. XLI (Industrials ETF) vs. S&amp;P 500 — Indexed to 100 at Q1 2026 Earnings (May 7, 2026). Source: Stock Price Data.</w:t>
      </w:r>
    </w:p>
    <w:p>
      <w:r>
        <w:rPr>
          <w:rFonts w:ascii="Calibri" w:hAnsi="Calibri"/>
          <w:color w:val="525866"/>
          <w:sz w:val="22"/>
        </w:rPr>
        <w:t>Since Q1 2026 earnings (May 7, 2026 through August 5, 2026), RSG returned approximately +2.7% (indexed), while the S&amp;P 500 (SPY) returned +5.4% and the XLI Industrials ETF returned +7.1%. The underperformance is consistent with multiple compression: NTM EV/EBITDA has contracted from ~14.0x to ~13.5x over the past month, and from ~15.4x to ~13.5x over the past 12 months. Notably, the stock rallied sharply in early July (touching ~$223) before pulling back to ~$207 heading into the print, suggesting some pre-earnings positioning has already unwound. The XLI outperformance reflects broader industrial sector strength that RSG has not participated in, likely due to its defensive/utility-like characteristics and the known tough Q2 comp.</w:t>
      </w:r>
    </w:p>
    <w:p>
      <w:r>
        <w:rPr>
          <w:rFonts w:ascii="Calibri" w:hAnsi="Calibri"/>
          <w:i/>
          <w:color w:val="525866"/>
          <w:sz w:val="22"/>
        </w:rPr>
        <w:t>Source: Stock Price Data (Yahoo Finance); Stock Performance Decomposition Data.</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post-Q1 development is the </w:t>
      </w:r>
      <w:r>
        <w:rPr>
          <w:rFonts w:ascii="Calibri" w:hAnsi="Calibri"/>
          <w:b/>
          <w:color w:val="525866"/>
          <w:sz w:val="22"/>
        </w:rPr>
        <w:t>$1.2 billion senior notes offering in June</w:t>
      </w:r>
      <w:r>
        <w:rPr>
          <w:rFonts w:ascii="Calibri" w:hAnsi="Calibri"/>
          <w:color w:val="525866"/>
          <w:sz w:val="22"/>
        </w:rPr>
        <w:t>, which signals RSG is actively funding its &gt;$1B acquisition pipeline. The dividend increase in late July is a secondary positive signal on FCF confidence. No guidance changes, pre-announcements, or negative developments have emerged.</w:t>
      </w:r>
    </w:p>
    <w:p>
      <w:pPr>
        <w:pStyle w:val="ListBullet"/>
        <w:ind w:left="360" w:hanging="360"/>
      </w:pPr>
      <w:r>
        <w:rPr>
          <w:rFonts w:ascii="Calibri" w:hAnsi="Calibri"/>
          <w:b/>
          <w:color w:val="525866"/>
          <w:sz w:val="22"/>
        </w:rPr>
        <w:t>July 29, 2026 — Dividend Increase (8-K):</w:t>
      </w:r>
      <w:r>
        <w:rPr>
          <w:rFonts w:ascii="Calibri" w:hAnsi="Calibri"/>
          <w:color w:val="525866"/>
          <w:sz w:val="22"/>
        </w:rPr>
        <w:t xml:space="preserve"> Board approved a $0.045/share increase in the quarterly dividend to $0.670/share, payable October 15, 2026 to shareholders of record October 2, 2026. This represents a ~7.2% increase and is the most direct signal of management confidence in free cash flow generation heading into the back half of the year. </w:t>
      </w:r>
      <w:r>
        <w:rPr>
          <w:rFonts w:ascii="Calibri" w:hAnsi="Calibri"/>
          <w:i/>
          <w:color w:val="525866"/>
          <w:sz w:val="22"/>
        </w:rPr>
        <w:t>Implication: Positive signal on FCF trajectory; consistent with full-year guidance.</w:t>
      </w:r>
    </w:p>
    <w:p>
      <w:pPr>
        <w:pStyle w:val="ListBullet"/>
        <w:ind w:left="360" w:hanging="360"/>
      </w:pPr>
      <w:r>
        <w:rPr>
          <w:rFonts w:ascii="Calibri" w:hAnsi="Calibri"/>
          <w:b/>
          <w:color w:val="525866"/>
          <w:sz w:val="22"/>
        </w:rPr>
        <w:t>June 23, 2026 — $1.2 Billion Senior Notes Offering (8-K):</w:t>
      </w:r>
      <w:r>
        <w:rPr>
          <w:rFonts w:ascii="Calibri" w:hAnsi="Calibri"/>
          <w:color w:val="525866"/>
          <w:sz w:val="22"/>
        </w:rPr>
        <w:t xml:space="preserve"> RSG agreed to sell $700M of 4.750% notes due 2031 and $500M of 5.000% notes due 2036 via an underwriting agreement with BofA Securities and Wells Fargo Securities. Offering closed on or about June 26, 2026. </w:t>
      </w:r>
      <w:r>
        <w:rPr>
          <w:rFonts w:ascii="Calibri" w:hAnsi="Calibri"/>
          <w:i/>
          <w:color w:val="525866"/>
          <w:sz w:val="22"/>
        </w:rPr>
        <w:t>Implication: Debt issuance at favorable rates funds the &gt;$1B acquisition target management flagged on the Q1 call; leverage ratio remains ~2.6x, within target range.</w:t>
      </w:r>
    </w:p>
    <w:p>
      <w:pPr>
        <w:pStyle w:val="ListBullet"/>
        <w:ind w:left="360" w:hanging="360"/>
      </w:pPr>
      <w:r>
        <w:rPr>
          <w:rFonts w:ascii="Calibri" w:hAnsi="Calibri"/>
          <w:b/>
          <w:color w:val="525866"/>
          <w:sz w:val="22"/>
        </w:rPr>
        <w:t>May 11, 2026 — Annual Meeting (8-K):</w:t>
      </w:r>
      <w:r>
        <w:rPr>
          <w:rFonts w:ascii="Calibri" w:hAnsi="Calibri"/>
          <w:color w:val="525866"/>
          <w:sz w:val="22"/>
        </w:rPr>
        <w:t xml:space="preserve"> Shareholders approved all proposals at the annual meeting, including director elections and executive compensation. No activist or governance concerns flagged. </w:t>
      </w:r>
      <w:r>
        <w:rPr>
          <w:rFonts w:ascii="Calibri" w:hAnsi="Calibri"/>
          <w:i/>
          <w:color w:val="525866"/>
          <w:sz w:val="22"/>
        </w:rPr>
        <w:t>Implication: Routine; no governance overhang.</w:t>
      </w:r>
    </w:p>
    <w:p>
      <w:pPr>
        <w:pStyle w:val="ListBullet"/>
        <w:ind w:left="360" w:hanging="360"/>
      </w:pPr>
      <w:r>
        <w:rPr>
          <w:rFonts w:ascii="Calibri" w:hAnsi="Calibri"/>
          <w:b/>
          <w:color w:val="525866"/>
          <w:sz w:val="22"/>
        </w:rPr>
        <w:t>May 7, 2026 — Q1 2026 Earnings (Baseline):</w:t>
      </w:r>
      <w:r>
        <w:rPr>
          <w:rFonts w:ascii="Calibri" w:hAnsi="Calibri"/>
          <w:color w:val="525866"/>
          <w:sz w:val="22"/>
        </w:rPr>
        <w:t xml:space="preserve"> Adj. EPS of $1.70 beat consensus of $1.63 by 4.3%; revenue of $4,113M beat by 0.4%; adj. EBITDA margin expanded 50 bps to 32.1%; adj. FCF of $984M grew &gt;35% YoY. Full-year guidance reaffirmed. Management noted green shoots in large container and special waste volumes. </w:t>
      </w:r>
      <w:r>
        <w:rPr>
          <w:rFonts w:ascii="Calibri" w:hAnsi="Calibri"/>
          <w:i/>
          <w:color w:val="525866"/>
          <w:sz w:val="22"/>
        </w:rPr>
        <w:t>Implication: Strong Q1 set a positive tone, but Q2 is the toughest comp of the year.</w:t>
      </w:r>
    </w:p>
    <w:p>
      <w:r>
        <w:rPr>
          <w:rFonts w:ascii="Calibri" w:hAnsi="Calibri"/>
          <w:i/>
          <w:color w:val="525866"/>
          <w:sz w:val="22"/>
        </w:rPr>
        <w:t>Sources: RSG 8-K filed July 29, 2026; RSG 8-K filed June 23, 2026; RSG 8-K filed May 11, 2026; RSG Q1 2026 Earnings Release and Transcript (May 7, 2026).</w:t>
      </w:r>
    </w:p>
    <w:p>
      <w:r>
        <w:br w:type="page"/>
      </w:r>
    </w:p>
    <w:p>
      <w:pPr>
        <w:pStyle w:val="Heading2"/>
      </w:pPr>
      <w:r>
        <w:rPr>
          <w:rFonts w:ascii="Calibri" w:hAnsi="Calibri"/>
          <w:b/>
          <w:color w:val="3B4259"/>
          <w:sz w:val="28"/>
        </w:rPr>
        <w:t>7. Peer Commentary &amp; Current-Quarter Read-Throughs</w:t>
      </w:r>
    </w:p>
    <w:p>
      <w:r>
        <w:rPr>
          <w:rFonts w:ascii="Calibri" w:hAnsi="Calibri"/>
          <w:b/>
          <w:color w:val="525866"/>
          <w:sz w:val="22"/>
        </w:rPr>
        <w:t xml:space="preserve">Key Takeaway: </w:t>
      </w:r>
      <w:r>
        <w:rPr>
          <w:rFonts w:ascii="Calibri" w:hAnsi="Calibri"/>
          <w:color w:val="525866"/>
          <w:sz w:val="22"/>
        </w:rPr>
        <w:t xml:space="preserve">Peers reporting Q2 2026 results in late July paint a </w:t>
      </w:r>
      <w:r>
        <w:rPr>
          <w:rFonts w:ascii="Calibri" w:hAnsi="Calibri"/>
          <w:b/>
          <w:color w:val="525866"/>
          <w:sz w:val="22"/>
        </w:rPr>
        <w:t>broadly constructive picture for RSG's H2 2026 setup</w:t>
      </w:r>
      <w:r>
        <w:rPr>
          <w:rFonts w:ascii="Calibri" w:hAnsi="Calibri"/>
          <w:color w:val="525866"/>
          <w:sz w:val="22"/>
        </w:rPr>
        <w:t>: pricing power remains robust across the industry (6%+ core price at GFL, 5.5%+ exit rate at WM), volume headwinds are well-understood and largely event-driven (wildfire laps, C&amp;D softness), and margin expansion is being achieved despite fuel headwinds. The most important read-through is WM's maintained EBITDA and FCF guidance despite a revenue cut — demonstrating that cost discipline can offset top-line pressure, which is exactly RSG's playbook for Q2.</w:t>
      </w:r>
    </w:p>
    <w:p>
      <w:r>
        <w:rPr>
          <w:rFonts w:ascii="Calibri" w:hAnsi="Calibri"/>
          <w:i/>
          <w:color w:val="525866"/>
          <w:sz w:val="22"/>
        </w:rPr>
        <w:t>Note: Only commentary explicitly addressing Q3 2026, H2 2026, or full-year 2026 forward outlook is included below. Prior-quarter result commentary has been excluded.</w:t>
      </w:r>
    </w:p>
    <w:p>
      <w:pPr>
        <w:pStyle w:val="Heading3"/>
      </w:pPr>
      <w:r>
        <w:rPr>
          <w:rFonts w:ascii="Calibri" w:hAnsi="Calibri"/>
          <w:b/>
          <w:color w:val="3B4259"/>
          <w:sz w:val="24"/>
        </w:rPr>
        <w:t>Waste Management (WM) — Q2 2026 Earnings (July 28–29, 2026)</w:t>
      </w:r>
    </w:p>
    <w:p>
      <w:pPr>
        <w:pStyle w:val="ListBullet"/>
        <w:ind w:left="360" w:hanging="360"/>
      </w:pPr>
      <w:r>
        <w:rPr>
          <w:rFonts w:ascii="Calibri" w:hAnsi="Calibri"/>
          <w:b/>
          <w:color w:val="525866"/>
          <w:sz w:val="22"/>
        </w:rPr>
        <w:t>Pricing (H2 2026 Outlook):</w:t>
      </w:r>
      <w:r>
        <w:rPr>
          <w:rFonts w:ascii="Calibri" w:hAnsi="Calibri"/>
          <w:color w:val="525866"/>
          <w:sz w:val="22"/>
        </w:rPr>
        <w:t xml:space="preserve"> WM expects core price to </w:t>
      </w:r>
      <w:r>
        <w:rPr>
          <w:rFonts w:ascii="Calibri" w:hAnsi="Calibri"/>
          <w:b/>
          <w:color w:val="525866"/>
          <w:sz w:val="22"/>
        </w:rPr>
        <w:t>exit 2026 above 5.5%</w:t>
      </w:r>
      <w:r>
        <w:rPr>
          <w:rFonts w:ascii="Calibri" w:hAnsi="Calibri"/>
          <w:color w:val="525866"/>
          <w:sz w:val="22"/>
        </w:rPr>
        <w:t xml:space="preserve"> with collection and disposal yield tracking toward the high end of guidance. The company anticipates exiting the year at 5.7% core price. </w:t>
      </w:r>
      <w:r>
        <w:rPr>
          <w:rFonts w:ascii="Calibri" w:hAnsi="Calibri"/>
          <w:i/>
          <w:color w:val="525866"/>
          <w:sz w:val="22"/>
        </w:rPr>
        <w:t>RSG Read-Through: Confirms the industry pricing environment remains supportive. RSG's average yield of ~3.4% (net of mix) is consistent with WM's trajectory; no evidence of pricing deterioration heading into Q3.</w:t>
      </w:r>
    </w:p>
    <w:p>
      <w:pPr>
        <w:pStyle w:val="ListBullet"/>
        <w:ind w:left="360" w:hanging="360"/>
      </w:pPr>
      <w:r>
        <w:rPr>
          <w:rFonts w:ascii="Calibri" w:hAnsi="Calibri"/>
          <w:b/>
          <w:color w:val="525866"/>
          <w:sz w:val="22"/>
        </w:rPr>
        <w:t>Volume (H2 2026 Outlook):</w:t>
      </w:r>
      <w:r>
        <w:rPr>
          <w:rFonts w:ascii="Calibri" w:hAnsi="Calibri"/>
          <w:color w:val="525866"/>
          <w:sz w:val="22"/>
        </w:rPr>
        <w:t xml:space="preserve"> WM guided for collection and disposal volumes to be </w:t>
      </w:r>
      <w:r>
        <w:rPr>
          <w:rFonts w:ascii="Calibri" w:hAnsi="Calibri"/>
          <w:b/>
          <w:color w:val="525866"/>
          <w:sz w:val="22"/>
        </w:rPr>
        <w:t>"relatively flat" in H2 2026</w:t>
      </w:r>
      <w:r>
        <w:rPr>
          <w:rFonts w:ascii="Calibri" w:hAnsi="Calibri"/>
          <w:color w:val="525866"/>
          <w:sz w:val="22"/>
        </w:rPr>
        <w:t xml:space="preserve">, with full-year volume declining ~0.8% (vs. original guidance of +0.4%), primarily due to not recovering winter weather volume losses. Special waste volumes (ex-wildfire) grew 4.5% in Q2 and are expected to continue showing strength. Industrial roll-off volumes were up 50 bps over the last four weeks vs. prior year. Residential volume losses are expected to continue moderating, with a potential pathway to flat-to-positive by mid-to-end of 2027. </w:t>
      </w:r>
      <w:r>
        <w:rPr>
          <w:rFonts w:ascii="Calibri" w:hAnsi="Calibri"/>
          <w:i/>
          <w:color w:val="525866"/>
          <w:sz w:val="22"/>
        </w:rPr>
        <w:t>RSG Read-Through: WM's volume trajectory is directionally consistent with RSG's guidance (negative Q2/Q3, positive Q4). The special waste and industrial volume strength is a positive read-through for RSG's large container and special waste segments, where management flagged green shoots in May.</w:t>
      </w:r>
    </w:p>
    <w:p>
      <w:pPr>
        <w:pStyle w:val="ListBullet"/>
        <w:ind w:left="360" w:hanging="360"/>
      </w:pPr>
      <w:r>
        <w:rPr>
          <w:rFonts w:ascii="Calibri" w:hAnsi="Calibri"/>
          <w:b/>
          <w:color w:val="525866"/>
          <w:sz w:val="22"/>
        </w:rPr>
        <w:t>Margins / Cost Discipline (H2 2026 Outlook):</w:t>
      </w:r>
      <w:r>
        <w:rPr>
          <w:rFonts w:ascii="Calibri" w:hAnsi="Calibri"/>
          <w:color w:val="525866"/>
          <w:sz w:val="22"/>
        </w:rPr>
        <w:t xml:space="preserve"> WM </w:t>
      </w:r>
      <w:r>
        <w:rPr>
          <w:rFonts w:ascii="Calibri" w:hAnsi="Calibri"/>
          <w:b/>
          <w:color w:val="525866"/>
          <w:sz w:val="22"/>
        </w:rPr>
        <w:t>raised its 2026 EBITDA margin guidance by 20 bps to 31.0%–31.2%</w:t>
      </w:r>
      <w:r>
        <w:rPr>
          <w:rFonts w:ascii="Calibri" w:hAnsi="Calibri"/>
          <w:color w:val="525866"/>
          <w:sz w:val="22"/>
        </w:rPr>
        <w:t xml:space="preserve"> despite cutting revenue guidance by ~0.6%, demonstrating cost flexibility. Operating expenses remained below 60% of revenue for the sixth consecutive quarter. WM expects margins to progress higher in H2 from the Q2 level of 30.9%. Energy surcharges of ~$175M are expected to offset higher fuel costs. </w:t>
      </w:r>
      <w:r>
        <w:rPr>
          <w:rFonts w:ascii="Calibri" w:hAnsi="Calibri"/>
          <w:i/>
          <w:color w:val="525866"/>
          <w:sz w:val="22"/>
        </w:rPr>
        <w:t>RSG Read-Through: Strongest positive read-through for RSG. WM's ability to expand margins while cutting revenue guidance validates RSG's cost discipline narrative. RSG's Q2 margin guidance of "flat to slightly down" may prove conservative if fuel recovery fees kick in as expected.</w:t>
      </w:r>
    </w:p>
    <w:p>
      <w:pPr>
        <w:pStyle w:val="ListBullet"/>
        <w:ind w:left="360" w:hanging="360"/>
      </w:pPr>
      <w:r>
        <w:rPr>
          <w:rFonts w:ascii="Calibri" w:hAnsi="Calibri"/>
          <w:b/>
          <w:color w:val="525866"/>
          <w:sz w:val="22"/>
        </w:rPr>
        <w:t>Revenue Guidance (FY 2026):</w:t>
      </w:r>
      <w:r>
        <w:rPr>
          <w:rFonts w:ascii="Calibri" w:hAnsi="Calibri"/>
          <w:color w:val="525866"/>
          <w:sz w:val="22"/>
        </w:rPr>
        <w:t xml:space="preserve"> WM narrowed full-year revenue to $26.275B–$26.475B, a ~0.6% reduction from prior guidance, driven by $250M lower collection/disposal volumes, partially offset by $175M higher energy surcharges and offset by $75M lower sustainability business volumes (recycling brokerage + RNG delays). </w:t>
      </w:r>
      <w:r>
        <w:rPr>
          <w:rFonts w:ascii="Calibri" w:hAnsi="Calibri"/>
          <w:i/>
          <w:color w:val="525866"/>
          <w:sz w:val="22"/>
        </w:rPr>
        <w:t>RSG Read-Through: The revenue cut at WM is event-specific (wildfire laps, RNG pipeline delays) and does not signal broad industry demand deterioration. RSG's revenue guidance is unchanged.</w:t>
      </w:r>
    </w:p>
    <w:p>
      <w:pPr>
        <w:pStyle w:val="ListBullet"/>
        <w:ind w:left="360" w:hanging="360"/>
      </w:pPr>
      <w:r>
        <w:rPr>
          <w:rFonts w:ascii="Calibri" w:hAnsi="Calibri"/>
          <w:b/>
          <w:color w:val="525866"/>
          <w:sz w:val="22"/>
        </w:rPr>
        <w:t>Recycling / Commodities (H2 2026 Outlook):</w:t>
      </w:r>
      <w:r>
        <w:rPr>
          <w:rFonts w:ascii="Calibri" w:hAnsi="Calibri"/>
          <w:color w:val="525866"/>
          <w:sz w:val="22"/>
        </w:rPr>
        <w:t xml:space="preserve"> WM noted commodity prices may be slightly higher than the $70/ton full-year assumption, with positive movement in plastics. However, a fire at an Arizona recycling facility may offset some of the upside. RNG volumes will be lighter than expected in 2026 due to pipeline interconnect delays, but 2027 is expected to benefit from higher RIN prices (90% of 2026 volume already locked). </w:t>
      </w:r>
      <w:r>
        <w:rPr>
          <w:rFonts w:ascii="Calibri" w:hAnsi="Calibri"/>
          <w:i/>
          <w:color w:val="525866"/>
          <w:sz w:val="22"/>
        </w:rPr>
        <w:t>RSG Read-Through: Modestly positive for RSG's recycling segment. RSG's polymer centers are seeing improving spreads; commodity prices at ~$125/ton in Q1 are above WM's blended average, suggesting RSG's recycling mix may be more favorable.</w:t>
      </w:r>
    </w:p>
    <w:p>
      <w:r>
        <w:rPr>
          <w:rFonts w:ascii="Calibri" w:hAnsi="Calibri"/>
          <w:i/>
          <w:color w:val="525866"/>
          <w:sz w:val="22"/>
        </w:rPr>
        <w:t>Source: WM Q2 2026 Earnings Release and Earnings Call Transcript (July 28–29, 2026).</w:t>
      </w:r>
    </w:p>
    <w:p>
      <w:pPr>
        <w:pStyle w:val="Heading3"/>
      </w:pPr>
      <w:r>
        <w:rPr>
          <w:rFonts w:ascii="Calibri" w:hAnsi="Calibri"/>
          <w:b/>
          <w:color w:val="3B4259"/>
          <w:sz w:val="24"/>
        </w:rPr>
        <w:t>GFL Environmental (GFL) — Q2 2026 Earnings (July 29–30, 2026)</w:t>
      </w:r>
    </w:p>
    <w:p>
      <w:pPr>
        <w:pStyle w:val="ListBullet"/>
        <w:ind w:left="360" w:hanging="360"/>
      </w:pPr>
      <w:r>
        <w:rPr>
          <w:rFonts w:ascii="Calibri" w:hAnsi="Calibri"/>
          <w:b/>
          <w:color w:val="525866"/>
          <w:sz w:val="22"/>
        </w:rPr>
        <w:t>Pricing (H2 2026 Outlook):</w:t>
      </w:r>
      <w:r>
        <w:rPr>
          <w:rFonts w:ascii="Calibri" w:hAnsi="Calibri"/>
          <w:color w:val="525866"/>
          <w:sz w:val="22"/>
        </w:rPr>
        <w:t xml:space="preserve"> GFL raised its full-year pricing assumption to </w:t>
      </w:r>
      <w:r>
        <w:rPr>
          <w:rFonts w:ascii="Calibri" w:hAnsi="Calibri"/>
          <w:b/>
          <w:color w:val="525866"/>
          <w:sz w:val="22"/>
        </w:rPr>
        <w:t>just over 6%</w:t>
      </w:r>
      <w:r>
        <w:rPr>
          <w:rFonts w:ascii="Calibri" w:hAnsi="Calibri"/>
          <w:color w:val="525866"/>
          <w:sz w:val="22"/>
        </w:rPr>
        <w:t xml:space="preserve">, nearly 50 bps better than its original guide. Current recycled commodity prices are up ~$13 over the Q2 average, and if sustained, Q3 pricing should be ~20% better than prior year. GFL noted the spread above cost inflation "remains true and dear to everyone's pricing strategies" and does not foresee this changing. </w:t>
      </w:r>
      <w:r>
        <w:rPr>
          <w:rFonts w:ascii="Calibri" w:hAnsi="Calibri"/>
          <w:i/>
          <w:color w:val="525866"/>
          <w:sz w:val="22"/>
        </w:rPr>
        <w:t>RSG Read-Through: Confirms a robust pricing environment. GFL's 6%+ core price is consistent with RSG's ~6.8% core price on related revenue in Q1. No evidence of pricing fatigue heading into H2.</w:t>
      </w:r>
    </w:p>
    <w:p>
      <w:pPr>
        <w:pStyle w:val="ListBullet"/>
        <w:ind w:left="360" w:hanging="360"/>
      </w:pPr>
      <w:r>
        <w:rPr>
          <w:rFonts w:ascii="Calibri" w:hAnsi="Calibri"/>
          <w:b/>
          <w:color w:val="525866"/>
          <w:sz w:val="22"/>
        </w:rPr>
        <w:t>Volume (H2 2026 Outlook):</w:t>
      </w:r>
      <w:r>
        <w:rPr>
          <w:rFonts w:ascii="Calibri" w:hAnsi="Calibri"/>
          <w:color w:val="525866"/>
          <w:sz w:val="22"/>
        </w:rPr>
        <w:t xml:space="preserve"> GFL updated its full-year volume outlook to </w:t>
      </w:r>
      <w:r>
        <w:rPr>
          <w:rFonts w:ascii="Calibri" w:hAnsi="Calibri"/>
          <w:b/>
          <w:color w:val="525866"/>
          <w:sz w:val="22"/>
        </w:rPr>
        <w:t>-50 bps (from +25 bps originally)</w:t>
      </w:r>
      <w:r>
        <w:rPr>
          <w:rFonts w:ascii="Calibri" w:hAnsi="Calibri"/>
          <w:color w:val="525866"/>
          <w:sz w:val="22"/>
        </w:rPr>
        <w:t xml:space="preserve">, driven by persistent C&amp;D-related headwinds and lapping of EPR volumes. Normal-course business is expected to be flat. Any improvement in C&amp;D activity would be upside to the guide. </w:t>
      </w:r>
      <w:r>
        <w:rPr>
          <w:rFonts w:ascii="Calibri" w:hAnsi="Calibri"/>
          <w:i/>
          <w:color w:val="525866"/>
          <w:sz w:val="22"/>
        </w:rPr>
        <w:t>RSG Read-Through: C&amp;D softness is a shared headwind. RSG's large container segment (which includes C&amp;D-related roll-off) showed its first YoY growth in Q1 2026 after two years of declines — GFL's commentary suggests this recovery may be fragile and C&amp;D-dependent.</w:t>
      </w:r>
    </w:p>
    <w:p>
      <w:pPr>
        <w:pStyle w:val="ListBullet"/>
        <w:ind w:left="360" w:hanging="360"/>
      </w:pPr>
      <w:r>
        <w:rPr>
          <w:rFonts w:ascii="Calibri" w:hAnsi="Calibri"/>
          <w:b/>
          <w:color w:val="525866"/>
          <w:sz w:val="22"/>
        </w:rPr>
        <w:t>Margins / Cost Discipline (H2 2026 Outlook):</w:t>
      </w:r>
      <w:r>
        <w:rPr>
          <w:rFonts w:ascii="Calibri" w:hAnsi="Calibri"/>
          <w:color w:val="525866"/>
          <w:sz w:val="22"/>
        </w:rPr>
        <w:t xml:space="preserve"> GFL raised its full-year adj. EBITDA margin to 30.5%, with Q3 2026 margin guided at 31.2% (60 bps ahead of prior year ex-fuel and M&amp;A). Underlying margin improvement is estimated at ~2x the original 100 bps target. Fuel surcharges now fully offset diesel cost increases. GFL noted AI and technology investments are expected to push G&amp;A cost intensity below 3% next year. </w:t>
      </w:r>
      <w:r>
        <w:rPr>
          <w:rFonts w:ascii="Calibri" w:hAnsi="Calibri"/>
          <w:i/>
          <w:color w:val="525866"/>
          <w:sz w:val="22"/>
        </w:rPr>
        <w:t>RSG Read-Through: Positive. GFL's margin expansion despite fuel headwinds mirrors RSG's Q1 performance. RSG's digital/AI investments ($100M+ annual benefit by 2028) are a similar long-term margin driver.</w:t>
      </w:r>
    </w:p>
    <w:p>
      <w:pPr>
        <w:pStyle w:val="ListBullet"/>
        <w:ind w:left="360" w:hanging="360"/>
      </w:pPr>
      <w:r>
        <w:rPr>
          <w:rFonts w:ascii="Calibri" w:hAnsi="Calibri"/>
          <w:b/>
          <w:color w:val="525866"/>
          <w:sz w:val="22"/>
        </w:rPr>
        <w:t>Full-Year Guidance Raised:</w:t>
      </w:r>
      <w:r>
        <w:rPr>
          <w:rFonts w:ascii="Calibri" w:hAnsi="Calibri"/>
          <w:color w:val="525866"/>
          <w:sz w:val="22"/>
        </w:rPr>
        <w:t xml:space="preserve"> GFL raised its full-year adj. EBITDA guidance to $2.29B (&gt;15% growth YoY) and adj. FCF to $900M (~20% growth). Q3 2026 revenue guided at ~$1.99B with 31.2% adj. EBITDA margin. </w:t>
      </w:r>
      <w:r>
        <w:rPr>
          <w:rFonts w:ascii="Calibri" w:hAnsi="Calibri"/>
          <w:i/>
          <w:color w:val="525866"/>
          <w:sz w:val="22"/>
        </w:rPr>
        <w:t>RSG Read-Through: GFL's guidance raise is the most bullish peer signal. While GFL's business mix differs (more M&amp;A-driven, Canadian exposure), the underlying organic margin expansion story is directly applicable to RSG.</w:t>
      </w:r>
    </w:p>
    <w:p>
      <w:pPr>
        <w:pStyle w:val="ListBullet"/>
        <w:ind w:left="360" w:hanging="360"/>
      </w:pPr>
      <w:r>
        <w:rPr>
          <w:rFonts w:ascii="Calibri" w:hAnsi="Calibri"/>
          <w:b/>
          <w:color w:val="525866"/>
          <w:sz w:val="22"/>
        </w:rPr>
        <w:t>RNG / Sustainability (H2 2026 Outlook):</w:t>
      </w:r>
      <w:r>
        <w:rPr>
          <w:rFonts w:ascii="Calibri" w:hAnsi="Calibri"/>
          <w:color w:val="525866"/>
          <w:sz w:val="22"/>
        </w:rPr>
        <w:t xml:space="preserve"> GFL noted RNG projects may slip from late 2027 into 2028, with a run-rate of ~$125M by end of 2028. </w:t>
      </w:r>
      <w:r>
        <w:rPr>
          <w:rFonts w:ascii="Calibri" w:hAnsi="Calibri"/>
          <w:i/>
          <w:color w:val="525866"/>
          <w:sz w:val="22"/>
        </w:rPr>
        <w:t>RSG Read-Through: RSG expects 4 additional RNG projects online in 2026 and $10M incremental EBITDA contribution this year. GFL's RNG delays are a reminder that project timelines can slip, though RSG's projects are further along.</w:t>
      </w:r>
    </w:p>
    <w:p>
      <w:r>
        <w:rPr>
          <w:rFonts w:ascii="Calibri" w:hAnsi="Calibri"/>
          <w:i/>
          <w:color w:val="525866"/>
          <w:sz w:val="22"/>
        </w:rPr>
        <w:t>Source: GFL Q2 2026 Earnings Release (July 29, 2026) and Earnings Call Transcript (July 30, 2026).</w:t>
      </w:r>
    </w:p>
    <w:p>
      <w:pPr>
        <w:pStyle w:val="Heading3"/>
      </w:pPr>
      <w:r>
        <w:rPr>
          <w:rFonts w:ascii="Calibri" w:hAnsi="Calibri"/>
          <w:b/>
          <w:color w:val="3B4259"/>
          <w:sz w:val="24"/>
        </w:rPr>
        <w:t>Clean Harbors (CLH) — Q2 2026 Earnings (July 29, 2026)</w:t>
      </w:r>
    </w:p>
    <w:p>
      <w:r>
        <w:rPr>
          <w:rFonts w:ascii="Calibri" w:hAnsi="Calibri"/>
          <w:i/>
          <w:color w:val="525866"/>
          <w:sz w:val="22"/>
        </w:rPr>
        <w:t>Note: CLH is a partial read-through — its Environmental Services segment overlaps with RSG's Environmental Solutions business, but CLH's Safety-Kleen (re-refined oil) segment is not directly comparable.</w:t>
      </w:r>
    </w:p>
    <w:p>
      <w:pPr>
        <w:pStyle w:val="ListBullet"/>
        <w:ind w:left="360" w:hanging="360"/>
      </w:pPr>
      <w:r>
        <w:rPr>
          <w:rFonts w:ascii="Calibri" w:hAnsi="Calibri"/>
          <w:b/>
          <w:color w:val="525866"/>
          <w:sz w:val="22"/>
        </w:rPr>
        <w:t>Industrial / Commercial Demand (H2 2026 Outlook):</w:t>
      </w:r>
      <w:r>
        <w:rPr>
          <w:rFonts w:ascii="Calibri" w:hAnsi="Calibri"/>
          <w:color w:val="525866"/>
          <w:sz w:val="22"/>
        </w:rPr>
        <w:t xml:space="preserve"> CLH cited the U.S. Manufacturing PMI above 50 for the first six months of 2026 and expects </w:t>
      </w:r>
      <w:r>
        <w:rPr>
          <w:rFonts w:ascii="Calibri" w:hAnsi="Calibri"/>
          <w:i/>
          <w:color w:val="525866"/>
          <w:sz w:val="22"/>
        </w:rPr>
        <w:t>"strong, sustained demand trends to remain intact as we move into the second half of the year."</w:t>
      </w:r>
      <w:r>
        <w:rPr>
          <w:rFonts w:ascii="Calibri" w:hAnsi="Calibri"/>
          <w:color w:val="525866"/>
          <w:sz w:val="22"/>
        </w:rPr>
        <w:t xml:space="preserve"> Customer discussions suggest a strengthening U.S. economy will support greater volumes. CLH's Field Services business is working on multiple large emergency response events expected to support Q3 growth. </w:t>
      </w:r>
      <w:r>
        <w:rPr>
          <w:rFonts w:ascii="Calibri" w:hAnsi="Calibri"/>
          <w:i/>
          <w:color w:val="525866"/>
          <w:sz w:val="22"/>
        </w:rPr>
        <w:t>RSG Read-Through: Positive for RSG's Environmental Solutions segment. CLH's commentary on manufacturing expansion and reshoring driving new waste streams is directly applicable to RSG's ES pipeline, which management described as "building with increased activity across multiple end markets" in Q1.</w:t>
      </w:r>
    </w:p>
    <w:p>
      <w:pPr>
        <w:pStyle w:val="ListBullet"/>
        <w:ind w:left="360" w:hanging="360"/>
      </w:pPr>
      <w:r>
        <w:rPr>
          <w:rFonts w:ascii="Calibri" w:hAnsi="Calibri"/>
          <w:b/>
          <w:color w:val="525866"/>
          <w:sz w:val="22"/>
        </w:rPr>
        <w:t>PFAS / Special Waste (H2 2026 Outlook):</w:t>
      </w:r>
      <w:r>
        <w:rPr>
          <w:rFonts w:ascii="Calibri" w:hAnsi="Calibri"/>
          <w:color w:val="525866"/>
          <w:sz w:val="22"/>
        </w:rPr>
        <w:t xml:space="preserve"> CLH's PFAS business is growing at </w:t>
      </w:r>
      <w:r>
        <w:rPr>
          <w:rFonts w:ascii="Calibri" w:hAnsi="Calibri"/>
          <w:b/>
          <w:color w:val="525866"/>
          <w:sz w:val="22"/>
        </w:rPr>
        <w:t>30%+ YoY</w:t>
      </w:r>
      <w:r>
        <w:rPr>
          <w:rFonts w:ascii="Calibri" w:hAnsi="Calibri"/>
          <w:color w:val="525866"/>
          <w:sz w:val="22"/>
        </w:rPr>
        <w:t xml:space="preserve"> (vs. prior expectation of 20%), driven by DoD lifting its moratorium on incineration. CLH won a $600M, 10-year disposal contract with a manufacturing customer expanding U.S. operations, commencing Q4 2026. </w:t>
      </w:r>
      <w:r>
        <w:rPr>
          <w:rFonts w:ascii="Calibri" w:hAnsi="Calibri"/>
          <w:i/>
          <w:color w:val="525866"/>
          <w:sz w:val="22"/>
        </w:rPr>
        <w:t>RSG Read-Through: Positive for RSG's special waste and ES segments. RSG's ES pipeline includes PFAS-related work; CLH's accelerating PFAS demand validates the growth opportunity RSG has been building toward.</w:t>
      </w:r>
    </w:p>
    <w:p>
      <w:pPr>
        <w:pStyle w:val="ListBullet"/>
        <w:ind w:left="360" w:hanging="360"/>
      </w:pPr>
      <w:r>
        <w:rPr>
          <w:rFonts w:ascii="Calibri" w:hAnsi="Calibri"/>
          <w:b/>
          <w:color w:val="525866"/>
          <w:sz w:val="22"/>
        </w:rPr>
        <w:t>Margins (H2 2026 Outlook):</w:t>
      </w:r>
      <w:r>
        <w:rPr>
          <w:rFonts w:ascii="Calibri" w:hAnsi="Calibri"/>
          <w:color w:val="525866"/>
          <w:sz w:val="22"/>
        </w:rPr>
        <w:t xml:space="preserve"> CLH's ES segment expects sequential margin improvement in Q3 and Q4, with full-year ES adj. EBITDA growth of 6–9%. CLH raised its full-year adj. EBITDA guidance midpoint by $110M to $1.38B (18% growth YoY). </w:t>
      </w:r>
      <w:r>
        <w:rPr>
          <w:rFonts w:ascii="Calibri" w:hAnsi="Calibri"/>
          <w:i/>
          <w:color w:val="525866"/>
          <w:sz w:val="22"/>
        </w:rPr>
        <w:t>RSG Read-Through: CLH's ES margin expansion trajectory is a positive read-through for RSG's Environmental Solutions margin recovery in H2 2026, which management guided for at the Q1 call.</w:t>
      </w:r>
    </w:p>
    <w:p>
      <w:pPr>
        <w:pStyle w:val="ListBullet"/>
        <w:ind w:left="360" w:hanging="360"/>
      </w:pPr>
      <w:r>
        <w:rPr>
          <w:rFonts w:ascii="Calibri" w:hAnsi="Calibri"/>
          <w:b/>
          <w:color w:val="525866"/>
          <w:sz w:val="22"/>
        </w:rPr>
        <w:t>M&amp;A Activity:</w:t>
      </w:r>
      <w:r>
        <w:rPr>
          <w:rFonts w:ascii="Calibri" w:hAnsi="Calibri"/>
          <w:color w:val="525866"/>
          <w:sz w:val="22"/>
        </w:rPr>
        <w:t xml:space="preserve"> CLH announced a $305M acquisition of ES&amp;H (Gulf region environmental/ER services) expected to close in H2 2026, plus a $30M acquisition of Western Oil. CLH noted M&amp;A multiples paid are "all under 10x" on a standardized basis. </w:t>
      </w:r>
      <w:r>
        <w:rPr>
          <w:rFonts w:ascii="Calibri" w:hAnsi="Calibri"/>
          <w:i/>
          <w:color w:val="525866"/>
          <w:sz w:val="22"/>
        </w:rPr>
        <w:t>RSG Read-Through: Active M&amp;A at sub-10x multiples confirms RSG's &gt;$1B acquisition target is achievable at reasonable valuations. RSG has already deployed &gt;$700M in Q1 2026 alone.</w:t>
      </w:r>
    </w:p>
    <w:p>
      <w:r>
        <w:rPr>
          <w:rFonts w:ascii="Calibri" w:hAnsi="Calibri"/>
          <w:i/>
          <w:color w:val="525866"/>
          <w:sz w:val="22"/>
        </w:rPr>
        <w:t>Source: CLH Q2 2026 Earnings Release (July 29, 2026) and Earnings Call Transcript (July 29, 2026).</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The dominant signal is </w:t>
      </w:r>
      <w:r>
        <w:rPr>
          <w:rFonts w:ascii="Calibri" w:hAnsi="Calibri"/>
          <w:b/>
          <w:color w:val="525866"/>
          <w:sz w:val="22"/>
        </w:rPr>
        <w:t>significant open-market buying by Bill Gates (10% owner)</w:t>
      </w:r>
      <w:r>
        <w:rPr>
          <w:rFonts w:ascii="Calibri" w:hAnsi="Calibri"/>
          <w:color w:val="525866"/>
          <w:sz w:val="22"/>
        </w:rPr>
        <w:t xml:space="preserve"> totaling ~806,655 shares (~$163M) across three days in mid-May 2026, immediately following Q1 earnings. This is a strong positive signal. The only insider sale was a small discretionary sale by the CAO (360 shares) and a trust sale by a director (1,800 shares) — both immaterial.</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Approx.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William H. Gates III</w:t>
            </w:r>
          </w:p>
        </w:tc>
        <w:tc>
          <w:tcPr>
            <w:tcW w:type="dxa" w:w="1234"/>
          </w:tcPr>
          <w:p>
            <w:r>
              <w:rPr>
                <w:rFonts w:ascii="Calibri" w:hAnsi="Calibri"/>
                <w:sz w:val="22"/>
              </w:rPr>
              <w:t>10% Owner</w:t>
            </w:r>
          </w:p>
        </w:tc>
        <w:tc>
          <w:tcPr>
            <w:tcW w:type="dxa" w:w="1234"/>
          </w:tcPr>
          <w:p>
            <w:r>
              <w:rPr>
                <w:rFonts w:ascii="Calibri" w:hAnsi="Calibri"/>
                <w:b/>
                <w:color w:val="30A46C"/>
                <w:sz w:val="22"/>
              </w:rPr>
              <w:t>Open Market Buy</w:t>
            </w:r>
          </w:p>
        </w:tc>
        <w:tc>
          <w:tcPr>
            <w:tcW w:type="dxa" w:w="1234"/>
          </w:tcPr>
          <w:p>
            <w:r>
              <w:rPr>
                <w:rFonts w:ascii="Calibri" w:hAnsi="Calibri"/>
                <w:sz w:val="22"/>
              </w:rPr>
              <w:t>366,000</w:t>
            </w:r>
          </w:p>
        </w:tc>
        <w:tc>
          <w:tcPr>
            <w:tcW w:type="dxa" w:w="1234"/>
          </w:tcPr>
          <w:p>
            <w:r>
              <w:rPr>
                <w:rFonts w:ascii="Calibri" w:hAnsi="Calibri"/>
                <w:sz w:val="22"/>
              </w:rPr>
              <w:t>~$74.4M</w:t>
            </w:r>
          </w:p>
        </w:tc>
        <w:tc>
          <w:tcPr>
            <w:tcW w:type="dxa" w:w="1234"/>
          </w:tcPr>
          <w:p>
            <w:r>
              <w:rPr>
                <w:rFonts w:ascii="Calibri" w:hAnsi="Calibri"/>
                <w:sz w:val="22"/>
              </w:rPr>
              <w:t>May 13, 2026</w:t>
            </w:r>
          </w:p>
        </w:tc>
        <w:tc>
          <w:tcPr>
            <w:tcW w:type="dxa" w:w="1234"/>
          </w:tcPr>
          <w:p>
            <w:r>
              <w:rPr>
                <w:rFonts w:ascii="Calibri" w:hAnsi="Calibri"/>
                <w:sz w:val="22"/>
              </w:rPr>
              <w:t>Largest single-day purchase; discretionary; filed May 13, 2026</w:t>
            </w:r>
          </w:p>
        </w:tc>
      </w:tr>
      <w:tr>
        <w:tc>
          <w:tcPr>
            <w:tcW w:type="dxa" w:w="1234"/>
          </w:tcPr>
          <w:p>
            <w:r>
              <w:rPr>
                <w:rFonts w:ascii="Calibri" w:hAnsi="Calibri"/>
                <w:sz w:val="22"/>
              </w:rPr>
              <w:t>William H. Gates III</w:t>
            </w:r>
          </w:p>
        </w:tc>
        <w:tc>
          <w:tcPr>
            <w:tcW w:type="dxa" w:w="1234"/>
          </w:tcPr>
          <w:p>
            <w:r>
              <w:rPr>
                <w:rFonts w:ascii="Calibri" w:hAnsi="Calibri"/>
                <w:sz w:val="22"/>
              </w:rPr>
              <w:t>10% Owner</w:t>
            </w:r>
          </w:p>
        </w:tc>
        <w:tc>
          <w:tcPr>
            <w:tcW w:type="dxa" w:w="1234"/>
          </w:tcPr>
          <w:p>
            <w:r>
              <w:rPr>
                <w:rFonts w:ascii="Calibri" w:hAnsi="Calibri"/>
                <w:b/>
                <w:color w:val="30A46C"/>
                <w:sz w:val="22"/>
              </w:rPr>
              <w:t>Open Market Buy</w:t>
            </w:r>
          </w:p>
        </w:tc>
        <w:tc>
          <w:tcPr>
            <w:tcW w:type="dxa" w:w="1234"/>
          </w:tcPr>
          <w:p>
            <w:r>
              <w:rPr>
                <w:rFonts w:ascii="Calibri" w:hAnsi="Calibri"/>
                <w:sz w:val="22"/>
              </w:rPr>
              <w:t>78,150</w:t>
            </w:r>
          </w:p>
        </w:tc>
        <w:tc>
          <w:tcPr>
            <w:tcW w:type="dxa" w:w="1234"/>
          </w:tcPr>
          <w:p>
            <w:r>
              <w:rPr>
                <w:rFonts w:ascii="Calibri" w:hAnsi="Calibri"/>
                <w:sz w:val="22"/>
              </w:rPr>
              <w:t>~$15.5M</w:t>
            </w:r>
          </w:p>
        </w:tc>
        <w:tc>
          <w:tcPr>
            <w:tcW w:type="dxa" w:w="1234"/>
          </w:tcPr>
          <w:p>
            <w:r>
              <w:rPr>
                <w:rFonts w:ascii="Calibri" w:hAnsi="Calibri"/>
                <w:sz w:val="22"/>
              </w:rPr>
              <w:t>May 11, 2026</w:t>
            </w:r>
          </w:p>
        </w:tc>
        <w:tc>
          <w:tcPr>
            <w:tcW w:type="dxa" w:w="1234"/>
          </w:tcPr>
          <w:p>
            <w:r>
              <w:rPr>
                <w:rFonts w:ascii="Calibri" w:hAnsi="Calibri"/>
                <w:sz w:val="22"/>
              </w:rPr>
              <w:t>Discretionary; filed May 13, 2026</w:t>
            </w:r>
          </w:p>
        </w:tc>
      </w:tr>
      <w:tr>
        <w:tc>
          <w:tcPr>
            <w:tcW w:type="dxa" w:w="1234"/>
          </w:tcPr>
          <w:p>
            <w:r>
              <w:rPr>
                <w:rFonts w:ascii="Calibri" w:hAnsi="Calibri"/>
                <w:sz w:val="22"/>
              </w:rPr>
              <w:t>William H. Gates III</w:t>
            </w:r>
          </w:p>
        </w:tc>
        <w:tc>
          <w:tcPr>
            <w:tcW w:type="dxa" w:w="1234"/>
          </w:tcPr>
          <w:p>
            <w:r>
              <w:rPr>
                <w:rFonts w:ascii="Calibri" w:hAnsi="Calibri"/>
                <w:sz w:val="22"/>
              </w:rPr>
              <w:t>10% Owner</w:t>
            </w:r>
          </w:p>
        </w:tc>
        <w:tc>
          <w:tcPr>
            <w:tcW w:type="dxa" w:w="1234"/>
          </w:tcPr>
          <w:p>
            <w:r>
              <w:rPr>
                <w:rFonts w:ascii="Calibri" w:hAnsi="Calibri"/>
                <w:b/>
                <w:color w:val="30A46C"/>
                <w:sz w:val="22"/>
              </w:rPr>
              <w:t>Open Market Buy</w:t>
            </w:r>
          </w:p>
        </w:tc>
        <w:tc>
          <w:tcPr>
            <w:tcW w:type="dxa" w:w="1234"/>
          </w:tcPr>
          <w:p>
            <w:r>
              <w:rPr>
                <w:rFonts w:ascii="Calibri" w:hAnsi="Calibri"/>
                <w:sz w:val="22"/>
              </w:rPr>
              <w:t>55,000</w:t>
            </w:r>
          </w:p>
        </w:tc>
        <w:tc>
          <w:tcPr>
            <w:tcW w:type="dxa" w:w="1234"/>
          </w:tcPr>
          <w:p>
            <w:r>
              <w:rPr>
                <w:rFonts w:ascii="Calibri" w:hAnsi="Calibri"/>
                <w:sz w:val="22"/>
              </w:rPr>
              <w:t>~$11.1M</w:t>
            </w:r>
          </w:p>
        </w:tc>
        <w:tc>
          <w:tcPr>
            <w:tcW w:type="dxa" w:w="1234"/>
          </w:tcPr>
          <w:p>
            <w:r>
              <w:rPr>
                <w:rFonts w:ascii="Calibri" w:hAnsi="Calibri"/>
                <w:sz w:val="22"/>
              </w:rPr>
              <w:t>May 12, 2026</w:t>
            </w:r>
          </w:p>
        </w:tc>
        <w:tc>
          <w:tcPr>
            <w:tcW w:type="dxa" w:w="1234"/>
          </w:tcPr>
          <w:p>
            <w:r>
              <w:rPr>
                <w:rFonts w:ascii="Calibri" w:hAnsi="Calibri"/>
                <w:sz w:val="22"/>
              </w:rPr>
              <w:t>Discretionary; filed May 13, 2026</w:t>
            </w:r>
          </w:p>
        </w:tc>
      </w:tr>
      <w:tr>
        <w:tc>
          <w:tcPr>
            <w:tcW w:type="dxa" w:w="1234"/>
          </w:tcPr>
          <w:p>
            <w:r>
              <w:rPr>
                <w:rFonts w:ascii="Calibri" w:hAnsi="Calibri"/>
                <w:sz w:val="22"/>
              </w:rPr>
              <w:t>William H. Gates III</w:t>
            </w:r>
          </w:p>
        </w:tc>
        <w:tc>
          <w:tcPr>
            <w:tcW w:type="dxa" w:w="1234"/>
          </w:tcPr>
          <w:p>
            <w:r>
              <w:rPr>
                <w:rFonts w:ascii="Calibri" w:hAnsi="Calibri"/>
                <w:sz w:val="22"/>
              </w:rPr>
              <w:t>10% Owner</w:t>
            </w:r>
          </w:p>
        </w:tc>
        <w:tc>
          <w:tcPr>
            <w:tcW w:type="dxa" w:w="1234"/>
          </w:tcPr>
          <w:p>
            <w:r>
              <w:rPr>
                <w:rFonts w:ascii="Calibri" w:hAnsi="Calibri"/>
                <w:b/>
                <w:color w:val="30A46C"/>
                <w:sz w:val="22"/>
              </w:rPr>
              <w:t>Open Market Buy</w:t>
            </w:r>
          </w:p>
        </w:tc>
        <w:tc>
          <w:tcPr>
            <w:tcW w:type="dxa" w:w="1234"/>
          </w:tcPr>
          <w:p>
            <w:r>
              <w:rPr>
                <w:rFonts w:ascii="Calibri" w:hAnsi="Calibri"/>
                <w:sz w:val="22"/>
              </w:rPr>
              <w:t>307,505</w:t>
            </w:r>
          </w:p>
        </w:tc>
        <w:tc>
          <w:tcPr>
            <w:tcW w:type="dxa" w:w="1234"/>
          </w:tcPr>
          <w:p>
            <w:r>
              <w:rPr>
                <w:rFonts w:ascii="Calibri" w:hAnsi="Calibri"/>
                <w:sz w:val="22"/>
              </w:rPr>
              <w:t>~$63.5M</w:t>
            </w:r>
          </w:p>
        </w:tc>
        <w:tc>
          <w:tcPr>
            <w:tcW w:type="dxa" w:w="1234"/>
          </w:tcPr>
          <w:p>
            <w:r>
              <w:rPr>
                <w:rFonts w:ascii="Calibri" w:hAnsi="Calibri"/>
                <w:sz w:val="22"/>
              </w:rPr>
              <w:t>May 14, 2026</w:t>
            </w:r>
          </w:p>
        </w:tc>
        <w:tc>
          <w:tcPr>
            <w:tcW w:type="dxa" w:w="1234"/>
          </w:tcPr>
          <w:p>
            <w:r>
              <w:rPr>
                <w:rFonts w:ascii="Calibri" w:hAnsi="Calibri"/>
                <w:sz w:val="22"/>
              </w:rPr>
              <w:t>Discretionary; filed May 18, 2026</w:t>
            </w:r>
          </w:p>
        </w:tc>
      </w:tr>
      <w:tr>
        <w:tc>
          <w:tcPr>
            <w:tcW w:type="dxa" w:w="1234"/>
          </w:tcPr>
          <w:p>
            <w:r>
              <w:rPr>
                <w:rFonts w:ascii="Calibri" w:hAnsi="Calibri"/>
                <w:sz w:val="22"/>
              </w:rPr>
              <w:t>Carlsen Elyse</w:t>
            </w:r>
          </w:p>
        </w:tc>
        <w:tc>
          <w:tcPr>
            <w:tcW w:type="dxa" w:w="1234"/>
          </w:tcPr>
          <w:p>
            <w:r>
              <w:rPr>
                <w:rFonts w:ascii="Calibri" w:hAnsi="Calibri"/>
                <w:sz w:val="22"/>
              </w:rPr>
              <w:t>CAO</w:t>
            </w:r>
          </w:p>
        </w:tc>
        <w:tc>
          <w:tcPr>
            <w:tcW w:type="dxa" w:w="1234"/>
          </w:tcPr>
          <w:p>
            <w:r>
              <w:rPr>
                <w:rFonts w:ascii="Calibri" w:hAnsi="Calibri"/>
                <w:b/>
                <w:color w:val="E5484D"/>
                <w:sz w:val="22"/>
              </w:rPr>
              <w:t>Open Market Sale</w:t>
            </w:r>
          </w:p>
        </w:tc>
        <w:tc>
          <w:tcPr>
            <w:tcW w:type="dxa" w:w="1234"/>
          </w:tcPr>
          <w:p>
            <w:r>
              <w:rPr>
                <w:rFonts w:ascii="Calibri" w:hAnsi="Calibri"/>
                <w:sz w:val="22"/>
              </w:rPr>
              <w:t>360</w:t>
            </w:r>
          </w:p>
        </w:tc>
        <w:tc>
          <w:tcPr>
            <w:tcW w:type="dxa" w:w="1234"/>
          </w:tcPr>
          <w:p>
            <w:r>
              <w:rPr>
                <w:rFonts w:ascii="Calibri" w:hAnsi="Calibri"/>
                <w:sz w:val="22"/>
              </w:rPr>
              <w:t>~$73K</w:t>
            </w:r>
          </w:p>
        </w:tc>
        <w:tc>
          <w:tcPr>
            <w:tcW w:type="dxa" w:w="1234"/>
          </w:tcPr>
          <w:p>
            <w:r>
              <w:rPr>
                <w:rFonts w:ascii="Calibri" w:hAnsi="Calibri"/>
                <w:sz w:val="22"/>
              </w:rPr>
              <w:t>May 19, 2026</w:t>
            </w:r>
          </w:p>
        </w:tc>
        <w:tc>
          <w:tcPr>
            <w:tcW w:type="dxa" w:w="1234"/>
          </w:tcPr>
          <w:p>
            <w:r>
              <w:rPr>
                <w:rFonts w:ascii="Calibri" w:hAnsi="Calibri"/>
                <w:sz w:val="22"/>
              </w:rPr>
              <w:t>Small discretionary sale; immaterial</w:t>
            </w:r>
          </w:p>
        </w:tc>
      </w:tr>
      <w:tr>
        <w:tc>
          <w:tcPr>
            <w:tcW w:type="dxa" w:w="1234"/>
          </w:tcPr>
          <w:p>
            <w:r>
              <w:rPr>
                <w:rFonts w:ascii="Calibri" w:hAnsi="Calibri"/>
                <w:sz w:val="22"/>
              </w:rPr>
              <w:t>Volpe Sandra M</w:t>
            </w:r>
          </w:p>
        </w:tc>
        <w:tc>
          <w:tcPr>
            <w:tcW w:type="dxa" w:w="1234"/>
          </w:tcPr>
          <w:p>
            <w:r>
              <w:rPr>
                <w:rFonts w:ascii="Calibri" w:hAnsi="Calibri"/>
                <w:sz w:val="22"/>
              </w:rPr>
              <w:t>Director</w:t>
            </w:r>
          </w:p>
        </w:tc>
        <w:tc>
          <w:tcPr>
            <w:tcW w:type="dxa" w:w="1234"/>
          </w:tcPr>
          <w:p>
            <w:r>
              <w:rPr>
                <w:rFonts w:ascii="Calibri" w:hAnsi="Calibri"/>
                <w:b/>
                <w:color w:val="E5484D"/>
                <w:sz w:val="22"/>
              </w:rPr>
              <w:t>Open Market Sale (Trust)</w:t>
            </w:r>
          </w:p>
        </w:tc>
        <w:tc>
          <w:tcPr>
            <w:tcW w:type="dxa" w:w="1234"/>
          </w:tcPr>
          <w:p>
            <w:r>
              <w:rPr>
                <w:rFonts w:ascii="Calibri" w:hAnsi="Calibri"/>
                <w:sz w:val="22"/>
              </w:rPr>
              <w:t>1,800</w:t>
            </w:r>
          </w:p>
        </w:tc>
        <w:tc>
          <w:tcPr>
            <w:tcW w:type="dxa" w:w="1234"/>
          </w:tcPr>
          <w:p>
            <w:r>
              <w:rPr>
                <w:rFonts w:ascii="Calibri" w:hAnsi="Calibri"/>
                <w:sz w:val="22"/>
              </w:rPr>
              <w:t>~$374K</w:t>
            </w:r>
          </w:p>
        </w:tc>
        <w:tc>
          <w:tcPr>
            <w:tcW w:type="dxa" w:w="1234"/>
          </w:tcPr>
          <w:p>
            <w:r>
              <w:rPr>
                <w:rFonts w:ascii="Calibri" w:hAnsi="Calibri"/>
                <w:sz w:val="22"/>
              </w:rPr>
              <w:t>June 11, 2026</w:t>
            </w:r>
          </w:p>
        </w:tc>
        <w:tc>
          <w:tcPr>
            <w:tcW w:type="dxa" w:w="1234"/>
          </w:tcPr>
          <w:p>
            <w:r>
              <w:rPr>
                <w:rFonts w:ascii="Calibri" w:hAnsi="Calibri"/>
                <w:sz w:val="22"/>
              </w:rPr>
              <w:t>Indirect (trust); immaterial; routine</w:t>
            </w:r>
          </w:p>
        </w:tc>
      </w:tr>
    </w:tbl>
    <w:p>
      <w:r>
        <w:rPr>
          <w:rFonts w:ascii="Calibri" w:hAnsi="Calibri"/>
          <w:color w:val="525866"/>
          <w:sz w:val="22"/>
        </w:rPr>
        <w:t>The Gates purchases (total ~806,655 shares, ~$164M) were made at prices ranging from approximately $197–$209/share, immediately after Q1 earnings. The stock is currently trading at ~$207, meaning Gates is approximately at breakeven on these purchases. No 10b5-1 plan was indicated for any of the Gates transactions, making these discretionary open-market buys. This is a notable positive signal from the company's largest outside shareholder.</w:t>
      </w:r>
    </w:p>
    <w:p>
      <w:r>
        <w:rPr>
          <w:rFonts w:ascii="Calibri" w:hAnsi="Calibri"/>
          <w:i/>
          <w:color w:val="525866"/>
          <w:sz w:val="22"/>
        </w:rPr>
        <w:t>Source: SEC Form 4 Filings Database (Insider Transaction Data).</w:t>
      </w:r>
    </w:p>
    <w:p>
      <w:r>
        <w:br w:type="page"/>
      </w:r>
    </w:p>
    <w:p>
      <w:pPr>
        <w:pStyle w:val="Heading2"/>
      </w:pPr>
      <w:r>
        <w:rPr>
          <w:rFonts w:ascii="Calibri" w:hAnsi="Calibri"/>
          <w:b/>
          <w:color w:val="3B4259"/>
          <w:sz w:val="28"/>
        </w:rPr>
        <w:t>9. Key Risks</w:t>
      </w:r>
    </w:p>
    <w:p>
      <w:pPr>
        <w:pStyle w:val="ListBullet"/>
        <w:ind w:left="360" w:hanging="360"/>
      </w:pPr>
      <w:r>
        <w:rPr>
          <w:rFonts w:ascii="Calibri" w:hAnsi="Calibri"/>
          <w:b/>
          <w:color w:val="525866"/>
          <w:sz w:val="22"/>
        </w:rPr>
        <w:t>Environmental Solutions Delay Risk:</w:t>
      </w:r>
      <w:r>
        <w:rPr>
          <w:rFonts w:ascii="Calibri" w:hAnsi="Calibri"/>
          <w:color w:val="525866"/>
          <w:sz w:val="22"/>
        </w:rPr>
        <w:t xml:space="preserve"> Management guided for H2 2026 YoY revenue growth in ES, but Q2 is still expected to decline ~3.5% YoY. If the ES recovery is slower than expected — due to continued manufacturing/construction softness or competitive pricing pressure — it could force a full-year guidance cut. This is the highest-variance line item in the model.</w:t>
      </w:r>
    </w:p>
    <w:p>
      <w:pPr>
        <w:pStyle w:val="ListBullet"/>
        <w:ind w:left="360" w:hanging="360"/>
      </w:pPr>
      <w:r>
        <w:rPr>
          <w:rFonts w:ascii="Calibri" w:hAnsi="Calibri"/>
          <w:b/>
          <w:color w:val="525866"/>
          <w:sz w:val="22"/>
        </w:rPr>
        <w:t>Volume Trajectory Risk:</w:t>
      </w:r>
      <w:r>
        <w:rPr>
          <w:rFonts w:ascii="Calibri" w:hAnsi="Calibri"/>
          <w:color w:val="525866"/>
          <w:sz w:val="22"/>
        </w:rPr>
        <w:t xml:space="preserve"> RSG guided for negative volumes in Q2 and Q3, flipping positive in Q4. If the Q4 volume recovery does not materialize (e.g., due to macro deterioration or continued residential contract losses), the full-year revenue and EBITDA targets would be at risk. Residential volumes are expected to decline into 2027, limiting the recovery runway.</w:t>
      </w:r>
    </w:p>
    <w:p>
      <w:pPr>
        <w:pStyle w:val="ListBullet"/>
        <w:ind w:left="360" w:hanging="360"/>
      </w:pPr>
      <w:r>
        <w:rPr>
          <w:rFonts w:ascii="Calibri" w:hAnsi="Calibri"/>
          <w:b/>
          <w:color w:val="525866"/>
          <w:sz w:val="22"/>
        </w:rPr>
        <w:t>Fuel / Commodity Headwinds:</w:t>
      </w:r>
      <w:r>
        <w:rPr>
          <w:rFonts w:ascii="Calibri" w:hAnsi="Calibri"/>
          <w:color w:val="525866"/>
          <w:sz w:val="22"/>
        </w:rPr>
        <w:t xml:space="preserve"> Diesel prices spiked in March 2026 and negatively impacted Q1 EBITDA by $8M. Management expects fuel recovery fees to kick in starting Q2, but if diesel prices remain elevated or recovery fees lag, margin guidance could be at risk. Recycled commodity prices at $120/ton in Q1 (vs. $155/ton prior year) remain a headwind; any further decline would pressure recycling segment margins.</w:t>
      </w:r>
    </w:p>
    <w:p>
      <w:pPr>
        <w:pStyle w:val="ListBullet"/>
        <w:ind w:left="360" w:hanging="360"/>
      </w:pPr>
      <w:r>
        <w:rPr>
          <w:rFonts w:ascii="Calibri" w:hAnsi="Calibri"/>
          <w:b/>
          <w:color w:val="525866"/>
          <w:sz w:val="22"/>
        </w:rPr>
        <w:t>M&amp;A Integration Risk:</w:t>
      </w:r>
      <w:r>
        <w:rPr>
          <w:rFonts w:ascii="Calibri" w:hAnsi="Calibri"/>
          <w:color w:val="525866"/>
          <w:sz w:val="22"/>
        </w:rPr>
        <w:t xml:space="preserve"> RSG has deployed &gt;$700M in acquisitions in Q1 alone and targets &gt;$1B for the full year. Acquisitions have been a 20 bps EBITDA margin headwind in Q1. If integration costs or dilution from acquired businesses exceed expectations, near-term margins could disappoint even if organic performance is on track.</w:t>
      </w:r>
    </w:p>
    <w:p>
      <w:pPr>
        <w:pStyle w:val="ListBullet"/>
        <w:ind w:left="360" w:hanging="360"/>
      </w:pPr>
      <w:r>
        <w:rPr>
          <w:rFonts w:ascii="Calibri" w:hAnsi="Calibri"/>
          <w:b/>
          <w:color w:val="525866"/>
          <w:sz w:val="22"/>
        </w:rPr>
        <w:t>Valuation / Multiple Risk:</w:t>
      </w:r>
      <w:r>
        <w:rPr>
          <w:rFonts w:ascii="Calibri" w:hAnsi="Calibri"/>
          <w:color w:val="525866"/>
          <w:sz w:val="22"/>
        </w:rPr>
        <w:t xml:space="preserve"> RSG trades at ~26.9x NTM P/E and ~13.5x NTM EV/EBITDA, both at the lower end of the recent range but still at a premium to historical averages. If the company delivers in-line results without a guidance raise, the stock may struggle to re-rate higher. A guidance cut would likely accelerate the multiple compression trend already underway (-12% EV/EBITDA over 12 months).</w:t>
      </w:r>
    </w:p>
    <w:p>
      <w:pPr>
        <w:pStyle w:val="ListBullet"/>
        <w:ind w:left="360" w:hanging="360"/>
      </w:pPr>
      <w:r>
        <w:rPr>
          <w:rFonts w:ascii="Calibri" w:hAnsi="Calibri"/>
          <w:b/>
          <w:color w:val="525866"/>
          <w:sz w:val="22"/>
        </w:rPr>
        <w:t>Macro / Construction Softness:</w:t>
      </w:r>
      <w:r>
        <w:rPr>
          <w:rFonts w:ascii="Calibri" w:hAnsi="Calibri"/>
          <w:color w:val="525866"/>
          <w:sz w:val="22"/>
        </w:rPr>
        <w:t xml:space="preserve"> Both GFL and WM flagged C&amp;D-related volume headwinds persisting through H2 2026. RSG's large container segment (which includes C&amp;D roll-off) only just returned to YoY growth in Q1 after two years of declines. A re-acceleration of C&amp;D weakness could reverse this nascent recovery.</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