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vty-earnings-predictions--2026-08-04"/>
    <w:p>
      <w:pPr>
        <w:pStyle w:val="Heading1"/>
      </w:pPr>
      <w:r>
        <w:t xml:space="preserve">RVTY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1.24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(Q2'26, pro forma)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707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~+3% vs. cons ~+2.5%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5.25</m:t>
              </m:r>
              <m:r>
                <m:rPr>
                  <m:sty m:val="p"/>
                </m:rPr>
                <m:t>−</m:t>
              </m:r>
              <m:r>
                <m:t>5.32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5.26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~+3-4% vs. cons ~+3.5%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~28.4% vs. cons ~28.3%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adj. EPS / margin ramp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implied EPS ~</w:t>
            </w:r>
            <w:r>
              <w:t xml:space="preserve">$1.35 &amp; margin ~29% vs. cons ~$</w:t>
            </w:r>
            <w:r>
              <w:t xml:space="preserve">1.34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China IDx divestiture (definitive agreement signed)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~+100bps FY organic / ~+30bps margin uplift vs. cons 0 baked in (2H26-2027)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Pharma/biotech organic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~LSD/+2-3% vs. cons ~+1-2%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Stock is at 2026 highs (+37% off spring lows, +7% post-Q1) so the un-demanding ~$1.20/+2-3% bar is largely priced. A modest headline beat + China-deal confirmation likely gives a small day-1 pop, but the FY raise (if any) is limited by pro-forma re-basing and a back-half-loaded margin/software ramp, so out-period math doesn't push estimates materially higher. With positioning stretched and peer divergence narrative already in the price, expect the initial gain to fade toward flat as revisions prove muted.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2026-08-04T00:04:00Z</dcterms:created>
  <dcterms:modified xsi:type="dcterms:W3CDTF">2026-08-04T00:04:00Z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