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vty-earnings-predictions--2026-08-04"/>
    <w:p>
      <w:pPr>
        <w:pStyle w:val="Heading1"/>
      </w:pPr>
      <w:r>
        <w:t xml:space="preserve">RVTY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 vs. cons $1.22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~$705M vs. cons $704M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~27.0% vs. cons/guide 27.0%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5.35 vs. cons $5.25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2.81</m:t>
              </m:r>
              <m:r>
                <m:rPr>
                  <m:sty m:val="p"/>
                </m:rPr>
                <m:t>−</m:t>
              </m:r>
            </m:oMath>
            <w:r>
              <w:t xml:space="preserve">2.84B vs. cons $2.82B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pro forma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~29% vs. cons ~28.5-29%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Immunodiagnostics definitive agreement status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~pending/no confirmed signing vs. cons expectation of Q2 signing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(FOLLOW-THROUGH)</w:t>
            </w:r>
          </w:p>
        </w:tc>
        <w:tc>
          <w:tcPr/>
          <w:p>
            <w:pPr>
              <w:pStyle w:val="Compact"/>
            </w:pPr>
            <w:r>
              <w:t xml:space="preserve">Stock has rallied 30%+ since Q1 and sits near consensus price targets, leaving little cushion; a merely in-line/modest-beat print with guidance simply reiterated (not meaningfully raised) and an unresolved China IDx definitive-agreement timeline (flagged as a name-defining open item) removes the catalyst needed to sustain the run. With Q3 margin (29%) and H2 organic acceleration still to be proven, sell-side is likely to trim near-term estimates or hold flat rather than raise out-period numbers, so any initial soft reaction should see modest follow-through over the week rather than a snap-back, absent a surprise on the China IDx deal or a explicit FY raise.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2026-08-04T00:10:56Z</dcterms:created>
  <dcterms:modified xsi:type="dcterms:W3CDTF">2026-08-04T00:10:56Z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