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revvity-rvty-q2-2026-earnings-preview"/>
    <w:p>
      <w:pPr>
        <w:pStyle w:val="Heading1"/>
      </w:pPr>
      <w:r>
        <w:t xml:space="preserve">Revvity (RVTY) Q2 2026 Earnings Preview</w:t>
      </w:r>
    </w:p>
    <w:p>
      <w:pPr>
        <w:pStyle w:val="FirstParagraph"/>
      </w:pPr>
      <w:r>
        <w:rPr>
          <w:b/>
          <w:bCs/>
        </w:rPr>
        <w:t xml:space="preserve">Report Date:</w:t>
      </w:r>
      <w:r>
        <w:t xml:space="preserve"> </w:t>
      </w:r>
      <w:r>
        <w:t xml:space="preserve">August 4, 2026 (before market open) |</w:t>
      </w:r>
      <w:r>
        <w:t xml:space="preserve"> </w:t>
      </w:r>
      <w:r>
        <w:rPr>
          <w:b/>
          <w:bCs/>
        </w:rPr>
        <w:t xml:space="preserve">Call:</w:t>
      </w:r>
      <w:r>
        <w:t xml:space="preserve"> </w:t>
      </w:r>
      <w:r>
        <w:t xml:space="preserve">7:30 a.m. ET</w:t>
      </w:r>
    </w:p>
    <w:bookmarkStart w:id="9" w:name="setup-into-the-print"/>
    <w:p>
      <w:pPr>
        <w:pStyle w:val="Heading2"/>
      </w:pPr>
      <w:r>
        <w:t xml:space="preserve">Setup Into the Print</w:t>
      </w:r>
    </w:p>
    <w:p>
      <w:pPr>
        <w:pStyle w:val="FirstParagraph"/>
      </w:pPr>
      <w:r>
        <w:t xml:space="preserve">Revvity shares have had a strong run into this report, trading around **</w:t>
      </w:r>
      <m:oMath>
        <m:r>
          <m:t>115</m:t>
        </m:r>
        <m:r>
          <m:rPr>
            <m:sty m:val="p"/>
          </m:rPr>
          <m:t>*</m:t>
        </m:r>
        <m:r>
          <m:rPr>
            <m:sty m:val="p"/>
          </m:rPr>
          <m:t>*</m:t>
        </m:r>
        <m:r>
          <m:t>a</m:t>
        </m:r>
        <m:r>
          <m:t>s</m:t>
        </m:r>
        <m:r>
          <m:t>o</m:t>
        </m:r>
        <m:r>
          <m:t>f</m:t>
        </m:r>
        <m:r>
          <m:t>A</m:t>
        </m:r>
        <m:r>
          <m:t>u</m:t>
        </m:r>
        <m:r>
          <m:t>g</m:t>
        </m:r>
        <m:r>
          <m:t>u</m:t>
        </m:r>
        <m:r>
          <m:t>s</m:t>
        </m:r>
        <m:r>
          <m:t>t</m:t>
        </m:r>
        <m:r>
          <m:t>3</m:t>
        </m:r>
        <m:r>
          <m:rPr>
            <m:sty m:val="p"/>
          </m:rPr>
          <m:t>—</m:t>
        </m:r>
        <m:r>
          <m:t>u</m:t>
        </m:r>
        <m:r>
          <m:t>p</m:t>
        </m:r>
        <m:r>
          <m:t>r</m:t>
        </m:r>
        <m:r>
          <m:t>o</m:t>
        </m:r>
        <m:r>
          <m:t>u</m:t>
        </m:r>
        <m:r>
          <m:t>g</m:t>
        </m:r>
        <m:r>
          <m:t>h</m:t>
        </m:r>
        <m:r>
          <m:t>l</m:t>
        </m:r>
        <m:r>
          <m:t>y</m:t>
        </m:r>
        <m:r>
          <m:t>30</m:t>
        </m:r>
      </m:oMath>
      <w:r>
        <w:t xml:space="preserve">87 level right before its Q1 2026 report in early May, and up further over the past several weeks on generally strong markets (mega-cap tech earnings, AI-driven sentiment) and healthcare-sector M&amp;A chatter (AstraZeneca/Bristol Myers talks). The stock currently sits close to, or slightly below, the Street's average price target (~$117), meaning expectations have risen alongside the price and there is less cushion for a soft print than there was three months ago.</w:t>
      </w:r>
    </w:p>
    <w:p>
      <w:pPr>
        <w:pStyle w:val="BodyText"/>
      </w:pPr>
      <w:r>
        <w:t xml:space="preserve">Consensus for the quarter:</w:t>
      </w:r>
      <w:r>
        <w:t xml:space="preserve"> </w:t>
      </w:r>
      <w:r>
        <w:rPr>
          <w:b/>
          <w:bCs/>
        </w:rPr>
        <w:t xml:space="preserve">EPS of roughly</w:t>
      </w:r>
      <w:r>
        <w:rPr>
          <w:b/>
          <w:bCs/>
        </w:rPr>
        <w:t xml:space="preserve"> </w:t>
      </w:r>
      <m:oMath>
        <m:r>
          <m:t>1.22</m:t>
        </m:r>
        <m:r>
          <m:rPr>
            <m:sty m:val="p"/>
          </m:rPr>
          <m:t>–</m:t>
        </m:r>
      </m:oMath>
      <w:r>
        <w:rPr>
          <w:b/>
          <w:bCs/>
        </w:rPr>
        <w:t xml:space="preserve">1.23</w:t>
      </w:r>
      <w:r>
        <w:t xml:space="preserve"> </w:t>
      </w:r>
      <w:r>
        <w:t xml:space="preserve">(implying modest y/y growth) on</w:t>
      </w:r>
      <w:r>
        <w:t xml:space="preserve"> </w:t>
      </w:r>
      <w:r>
        <w:rPr>
          <w:b/>
          <w:bCs/>
        </w:rPr>
        <w:t xml:space="preserve">revenue of roughly $704–705 million</w:t>
      </w:r>
      <w:r>
        <w:t xml:space="preserve">, which on a headline basis would look like a y/y decline versus last year's reported $720 million — but that "decline" is essentially an artifact of the China Immunodiagnostics divestiture reshaping the comparison base (more below). Revvity has beaten EPS estimates in each of the trailing four quarters, with an average surprise near 3.8%.</w:t>
      </w:r>
    </w:p>
    <w:bookmarkEnd w:id="9"/>
    <w:bookmarkStart w:id="10" w:name="Xe2a76923e1809a550d5ab36e17e35470cf77939"/>
    <w:p>
      <w:pPr>
        <w:pStyle w:val="Heading2"/>
      </w:pPr>
      <w:r>
        <w:t xml:space="preserve">Recap: What Changed Last Quarter (Q1 2026, reported May 5)</w:t>
      </w:r>
    </w:p>
    <w:p>
      <w:pPr>
        <w:pStyle w:val="FirstParagraph"/>
      </w:pPr>
      <w:r>
        <w:t xml:space="preserve">Revvity's Q1 2026 print was the key event shaping expectations for Q2:</w:t>
      </w:r>
    </w:p>
    <w:p>
      <w:pPr>
        <w:pStyle w:val="Compact"/>
        <w:numPr>
          <w:ilvl w:val="0"/>
          <w:numId w:val="1001"/>
        </w:numPr>
      </w:pPr>
      <w:r>
        <w:t xml:space="preserve">Revenue of $711 million; pro forma revenue of $687 million; 7% revenue growth; 3% organic growth; 6% pro forma organic growth.</w:t>
      </w:r>
    </w:p>
    <w:p>
      <w:pPr>
        <w:pStyle w:val="Compact"/>
        <w:numPr>
          <w:ilvl w:val="0"/>
          <w:numId w:val="1001"/>
        </w:numPr>
      </w:pPr>
      <w:r>
        <w:t xml:space="preserve">GAAP EPS from continuing operations of $0.37; adjusted EPS from continuing operations of $1.06. This beat the Street's $1.02 estimate and came in above the top end of management's own guided range.</w:t>
      </w:r>
    </w:p>
    <w:p>
      <w:pPr>
        <w:pStyle w:val="Compact"/>
        <w:numPr>
          <w:ilvl w:val="0"/>
          <w:numId w:val="1001"/>
        </w:numPr>
      </w:pPr>
      <w:r>
        <w:t xml:space="preserve">Most importantly, management</w:t>
      </w:r>
      <w:r>
        <w:t xml:space="preserve"> </w:t>
      </w:r>
      <w:r>
        <w:rPr>
          <w:b/>
          <w:bCs/>
        </w:rPr>
        <w:t xml:space="preserve">announced its intention to divest the China Immunodiagnostics business</w:t>
      </w:r>
      <w:r>
        <w:t xml:space="preserve"> </w:t>
      </w:r>
      <w:r>
        <w:t xml:space="preserve">, entering into a letter of intent with a prospective buyer, with a definitive agreement expected to be signed in the second quarter of 2026, and the divestiture expected to be completed in 2027 following receipt of necessary regulatory approvals. The China IDx unit represented approximately 6% of the Company's total revenue in fiscal year 2025. Per the related 8-K, the letter of intent provided for the sale of China IDx for up to $200 million, subject to adjustments and satisfaction of conditions.</w:t>
      </w:r>
    </w:p>
    <w:p>
      <w:pPr>
        <w:pStyle w:val="Compact"/>
        <w:numPr>
          <w:ilvl w:val="0"/>
          <w:numId w:val="1001"/>
        </w:numPr>
      </w:pPr>
      <w:r>
        <w:t xml:space="preserve">Following the divestiture decision, the company shifted to</w:t>
      </w:r>
      <w:r>
        <w:t xml:space="preserve"> </w:t>
      </w:r>
      <w:r>
        <w:rPr>
          <w:b/>
          <w:bCs/>
        </w:rPr>
        <w:t xml:space="preserve">pro forma guidance</w:t>
      </w:r>
      <w:r>
        <w:t xml:space="preserve"> </w:t>
      </w:r>
      <w:r>
        <w:t xml:space="preserve">that strips out China IDx. On the Q1 call, CEO Prahlad Singh explained the rationale bluntly: "the health care market in China, particularly diagnostics, has faced persistent policy-induced headwinds that have dramatically impacted both customer demand and pricing dynamics," and rather than fund the localization required to compete there, management chose to "concentrate our efforts on business areas where we have clear competitive advantages and see healthy growth trajectories."</w:t>
      </w:r>
    </w:p>
    <w:p>
      <w:pPr>
        <w:pStyle w:val="FirstParagraph"/>
      </w:pPr>
      <w:r>
        <w:rPr>
          <w:b/>
          <w:bCs/>
        </w:rPr>
        <w:t xml:space="preserve">Important open item for this call:</w:t>
      </w:r>
      <w:r>
        <w:t xml:space="preserve"> </w:t>
      </w:r>
      <w:r>
        <w:t xml:space="preserve">as of early August, we find no confirmation that the "definitive agreement" for the China IDx sale — targeted for signing within Q2 2026 — has actually been announced. Investors should listen closely for an update on deal timing/terms on this call, since it's a name-defining strategic action.</w:t>
      </w:r>
    </w:p>
    <w:bookmarkEnd w:id="10"/>
    <w:bookmarkStart w:id="11" w:name="full-year-2026-guidance-pro-forma-basis"/>
    <w:p>
      <w:pPr>
        <w:pStyle w:val="Heading2"/>
      </w:pPr>
      <w:r>
        <w:t xml:space="preserve">Full-Year 2026 Guidance (Pro Forma Basis)</w:t>
      </w:r>
    </w:p>
    <w:p>
      <w:pPr>
        <w:pStyle w:val="FirstParagraph"/>
      </w:pPr>
      <w:r>
        <w:t xml:space="preserve">Updated at Q1: for the full year 2026, on a pro forma basis, the Company forecasts total revenue of</w:t>
      </w:r>
      <w:r>
        <w:t xml:space="preserve"> </w:t>
      </w:r>
      <m:oMath>
        <m:r>
          <m:t>2.81</m:t>
        </m:r>
        <m:r>
          <m:rPr>
            <m:sty m:val="p"/>
          </m:rPr>
          <m:t>−</m:t>
        </m:r>
      </m:oMath>
      <w:r>
        <w:t xml:space="preserve">2.84 billion, pro forma organic revenue growth of 3%-4%, and pro forma adjusted earnings per share of</w:t>
      </w:r>
      <w:r>
        <w:t xml:space="preserve"> </w:t>
      </w:r>
      <m:oMath>
        <m:r>
          <m:t>5.20</m:t>
        </m:r>
        <m:r>
          <m:rPr>
            <m:sty m:val="p"/>
          </m:rPr>
          <m:t>−</m:t>
        </m:r>
      </m:oMath>
      <w:r>
        <w:t xml:space="preserve">5.30. Management framed the divestiture as accretive to growth and margins on a like-for-like basis, expecting it to "improve our 2026 total company organic growth by approximately 100 basis points and enhance our operating margins by approximately 30 basis points."</w:t>
      </w:r>
    </w:p>
    <w:bookmarkEnd w:id="11"/>
    <w:bookmarkStart w:id="12" w:name="Xc44263e1eff27f7a705e351a2fb916b2b665ba5"/>
    <w:p>
      <w:pPr>
        <w:pStyle w:val="Heading2"/>
      </w:pPr>
      <w:r>
        <w:t xml:space="preserve">Q2 2026 Guidance — The Specific Numbers to Grade</w:t>
      </w:r>
    </w:p>
    <w:p>
      <w:pPr>
        <w:pStyle w:val="FirstParagraph"/>
      </w:pPr>
      <w:r>
        <w:t xml:space="preserve">Management gave fairly explicit Q2 guardrails on the Q1 call:</w:t>
      </w:r>
    </w:p>
    <w:p>
      <w:pPr>
        <w:pStyle w:val="Compact"/>
        <w:numPr>
          <w:ilvl w:val="0"/>
          <w:numId w:val="1002"/>
        </w:numPr>
      </w:pPr>
      <w:r>
        <w:rPr>
          <w:b/>
          <w:bCs/>
        </w:rPr>
        <w:t xml:space="preserve">Organic growth:</w:t>
      </w:r>
      <w:r>
        <w:t xml:space="preserve"> </w:t>
      </w:r>
      <w:r>
        <w:t xml:space="preserve">"For the second quarter, we expect our pro forma organic growth to be in the 2% to 3% range... This puts our expected total pro forma revenue for the second quarter in the range of $699 million to $707 million."</w:t>
      </w:r>
    </w:p>
    <w:p>
      <w:pPr>
        <w:pStyle w:val="Compact"/>
        <w:numPr>
          <w:ilvl w:val="0"/>
          <w:numId w:val="1002"/>
        </w:numPr>
      </w:pPr>
      <w:r>
        <w:rPr>
          <w:b/>
          <w:bCs/>
        </w:rPr>
        <w:t xml:space="preserve">Margins:</w:t>
      </w:r>
      <w:r>
        <w:t xml:space="preserve"> </w:t>
      </w:r>
      <w:r>
        <w:t xml:space="preserve">"We continue to expect an improvement in our margins as we progress throughout the year and anticipate them being approximately 27% in the second quarter on a pro forma basis." (Up from 24% pro forma in Q1.)</w:t>
      </w:r>
    </w:p>
    <w:p>
      <w:pPr>
        <w:pStyle w:val="Compact"/>
        <w:numPr>
          <w:ilvl w:val="0"/>
          <w:numId w:val="1002"/>
        </w:numPr>
      </w:pPr>
      <w:r>
        <w:rPr>
          <w:b/>
          <w:bCs/>
        </w:rPr>
        <w:t xml:space="preserve">EPS:</w:t>
      </w:r>
      <w:r>
        <w:t xml:space="preserve"> </w:t>
      </w:r>
      <w:r>
        <w:t xml:space="preserve">"This should all result in our pro forma adjusted EPS in the second quarter being approximately 23% of our updated full year pro forma outlook," which implies roughly</w:t>
      </w:r>
      <w:r>
        <w:t xml:space="preserve"> </w:t>
      </w:r>
      <m:oMath>
        <m:r>
          <m:t>1.20</m:t>
        </m:r>
        <m:r>
          <m:rPr>
            <m:sty m:val="p"/>
          </m:rPr>
          <m:t>–</m:t>
        </m:r>
      </m:oMath>
      <w:r>
        <w:rPr>
          <w:b/>
          <w:bCs/>
        </w:rPr>
        <w:t xml:space="preserve">1.22</w:t>
      </w:r>
      <w:r>
        <w:t xml:space="preserve"> </w:t>
      </w:r>
      <w:r>
        <w:t xml:space="preserve">— closely matching the Street's ~</w:t>
      </w:r>
      <m:oMath>
        <m:r>
          <m:t>1.22</m:t>
        </m:r>
        <m:r>
          <m:rPr>
            <m:sty m:val="p"/>
          </m:rPr>
          <m:t>–</m:t>
        </m:r>
      </m:oMath>
      <w:r>
        <w:t xml:space="preserve">1.23 consensus.</w:t>
      </w:r>
    </w:p>
    <w:p>
      <w:pPr>
        <w:pStyle w:val="Compact"/>
        <w:numPr>
          <w:ilvl w:val="0"/>
          <w:numId w:val="1002"/>
        </w:numPr>
      </w:pPr>
      <w:r>
        <w:rPr>
          <w:b/>
          <w:bCs/>
        </w:rPr>
        <w:t xml:space="preserve">Segment-level cadence:</w:t>
      </w:r>
      <w:r>
        <w:t xml:space="preserve"> </w:t>
      </w:r>
      <w:r>
        <w:t xml:space="preserve">Life Sciences roughly flattish overall, with Life Science Solutions (reagents/platforms) growing low single digits;</w:t>
      </w:r>
      <w:r>
        <w:t xml:space="preserve"> </w:t>
      </w:r>
      <w:r>
        <w:rPr>
          <w:b/>
          <w:bCs/>
        </w:rPr>
        <w:t xml:space="preserve">Software down ~20% y/y</w:t>
      </w:r>
      <w:r>
        <w:t xml:space="preserve"> </w:t>
      </w:r>
      <w:r>
        <w:t xml:space="preserve">on a tough prior-year comp (before reaccelerating to high-teens growth in H2); Diagnostics up mid-to-high single digits, with Immunodiagnostics and Reproductive Health growing at similar rates on a pro forma basis.</w:t>
      </w:r>
    </w:p>
    <w:bookmarkEnd w:id="12"/>
    <w:bookmarkStart w:id="13" w:name="key-themes-to-watch-on-the-call"/>
    <w:p>
      <w:pPr>
        <w:pStyle w:val="Heading2"/>
      </w:pPr>
      <w:r>
        <w:t xml:space="preserve">Key Themes to Watch on the Call</w:t>
      </w:r>
    </w:p>
    <w:p>
      <w:pPr>
        <w:pStyle w:val="FirstParagraph"/>
      </w:pPr>
      <w:r>
        <w:rPr>
          <w:b/>
          <w:bCs/>
        </w:rPr>
        <w:t xml:space="preserve">1. Pharma/biotech and academic end-market recovery — is it continuing?</w:t>
      </w:r>
      <w:r>
        <w:t xml:space="preserve"> </w:t>
      </w:r>
      <w:r>
        <w:t xml:space="preserve">Q1 showed the first tangible signs of a turn: "Life Science Solutions were up low single digit from pharma/biotech in Q1, which was the strongest growth we've seen on both instruments and platforms from these businesses from this customer group since the second quarter of 2023." Academic/government customers also grew positively in the U.S. for the first time since Q2 2023. Investors will want confirmation that reagent order momentum and lab budgets are still improving into Q2, particularly as management had built some conservatism into H2 assumptions.</w:t>
      </w:r>
    </w:p>
    <w:p>
      <w:pPr>
        <w:pStyle w:val="BodyText"/>
      </w:pPr>
      <w:r>
        <w:rPr>
          <w:b/>
          <w:bCs/>
        </w:rPr>
        <w:t xml:space="preserve">2. Diagnostics — Reproductive Health/Genomics England strength vs. China drag</w:t>
      </w:r>
      <w:r>
        <w:t xml:space="preserve"> </w:t>
      </w:r>
      <w:r>
        <w:t xml:space="preserve">Reproductive Health had an outstanding Q1 ("grew double digits organically versus our expectation of high single digits"), aided by newborn screening and a Genomics England contract running ahead of plan. Watch whether that momentum persists and whether immunodiagnostics ex-China holds up while China IDx continues to see policy-driven pressure ahead of its planned exit.</w:t>
      </w:r>
    </w:p>
    <w:p>
      <w:pPr>
        <w:pStyle w:val="BodyText"/>
      </w:pPr>
      <w:r>
        <w:rPr>
          <w:b/>
          <w:bCs/>
        </w:rPr>
        <w:t xml:space="preserve">3. Margin execution and the cost program's back-half inflection</w:t>
      </w:r>
      <w:r>
        <w:t xml:space="preserve"> </w:t>
      </w:r>
      <w:r>
        <w:t xml:space="preserve">CFO Max Krakowiak laid out a step-function margin bridge: margins moving from 24% pro forma in Q1 to 27% in Q2, then to 29% in Q3, driven largely by cost-productivity initiatives that are "on track to be fully completed" around mid-2026, with roughly three-quarters of the savings headcount-driven and the rest from footprint/sourcing/freight optimization. Q2 is the transition quarter — investors should check whether the 27% margin target is tracking, since a miss here would raise doubts about the H2 ramp needed to hit 28.4% full-year pro forma margin guidance.</w:t>
      </w:r>
    </w:p>
    <w:p>
      <w:pPr>
        <w:pStyle w:val="BodyText"/>
      </w:pPr>
      <w:r>
        <w:rPr>
          <w:b/>
          <w:bCs/>
        </w:rPr>
        <w:t xml:space="preserve">4. Software launches — Xynthetica, BioDesign, LabGistics</w:t>
      </w:r>
      <w:r>
        <w:t xml:space="preserve"> </w:t>
      </w:r>
      <w:r>
        <w:t xml:space="preserve">Signals software remains a strategic priority (double-digit APV growth, 30%+ ARR growth in Q1) despite a guided ~20% organic decline in Q2 due to tough comps. Commentary on adoption of the newly launched</w:t>
      </w:r>
      <w:r>
        <w:t xml:space="preserve"> </w:t>
      </w:r>
      <w:r>
        <w:rPr>
          <w:b/>
          <w:bCs/>
        </w:rPr>
        <w:t xml:space="preserve">BioDesign</w:t>
      </w:r>
      <w:r>
        <w:t xml:space="preserve"> </w:t>
      </w:r>
      <w:r>
        <w:t xml:space="preserve">platform and the year-end</w:t>
      </w:r>
      <w:r>
        <w:t xml:space="preserve"> </w:t>
      </w:r>
      <w:r>
        <w:rPr>
          <w:b/>
          <w:bCs/>
        </w:rPr>
        <w:t xml:space="preserve">LabGistics</w:t>
      </w:r>
      <w:r>
        <w:t xml:space="preserve"> </w:t>
      </w:r>
      <w:r>
        <w:t xml:space="preserve">launch will matter for the long-term growth narrative reiterated ahead of the November 13 Investor Day in New York, where software is expected to be a "central theme."</w:t>
      </w:r>
    </w:p>
    <w:p>
      <w:pPr>
        <w:pStyle w:val="BodyText"/>
      </w:pPr>
      <w:r>
        <w:rPr>
          <w:b/>
          <w:bCs/>
        </w:rPr>
        <w:t xml:space="preserve">5. Capital allocation and balance sheet</w:t>
      </w:r>
      <w:r>
        <w:t xml:space="preserve"> </w:t>
      </w:r>
      <w:r>
        <w:t xml:space="preserve">The company repurchased</w:t>
      </w:r>
      <w:r>
        <w:t xml:space="preserve"> </w:t>
      </w:r>
      <m:oMath>
        <m:r>
          <m:t>86</m:t>
        </m:r>
        <m:r>
          <m:t>m</m:t>
        </m:r>
        <m:r>
          <m:t>i</m:t>
        </m:r>
        <m:r>
          <m:t>l</m:t>
        </m:r>
        <m:r>
          <m:t>l</m:t>
        </m:r>
        <m:r>
          <m:t>i</m:t>
        </m:r>
        <m:r>
          <m:t>o</m:t>
        </m:r>
        <m:r>
          <m:t>n</m:t>
        </m:r>
        <m:r>
          <m:t>o</m:t>
        </m:r>
        <m:r>
          <m:t>f</m:t>
        </m:r>
        <m:r>
          <m:t>s</m:t>
        </m:r>
        <m:r>
          <m:t>t</m:t>
        </m:r>
        <m:r>
          <m:t>o</m:t>
        </m:r>
        <m:r>
          <m:t>c</m:t>
        </m:r>
        <m:r>
          <m:t>k</m:t>
        </m:r>
        <m:r>
          <m:t>i</m:t>
        </m:r>
        <m:r>
          <m:t>n</m:t>
        </m:r>
        <m:r>
          <m:t>Q</m:t>
        </m:r>
        <m:r>
          <m:t>1</m:t>
        </m:r>
        <m:r>
          <m:t>a</m:t>
        </m:r>
        <m:r>
          <m:t>n</m:t>
        </m:r>
        <m:r>
          <m:t>d</m:t>
        </m:r>
        <m:r>
          <m:t>p</m:t>
        </m:r>
        <m:r>
          <m:t>l</m:t>
        </m:r>
        <m:r>
          <m:t>a</m:t>
        </m:r>
        <m:r>
          <m:t>n</m:t>
        </m:r>
        <m:r>
          <m:t>n</m:t>
        </m:r>
        <m:r>
          <m:t>e</m:t>
        </m:r>
        <m:r>
          <m:t>d</m:t>
        </m:r>
        <m:r>
          <m:t>t</m:t>
        </m:r>
        <m:r>
          <m:t>o</m:t>
        </m:r>
        <m:r>
          <m:t>r</m:t>
        </m:r>
        <m:r>
          <m:t>e</m:t>
        </m:r>
        <m:r>
          <m:t>t</m:t>
        </m:r>
        <m:r>
          <m:t>i</m:t>
        </m:r>
        <m:r>
          <m:t>r</m:t>
        </m:r>
        <m:r>
          <m:t>e</m:t>
        </m:r>
        <m:r>
          <m:t>t</m:t>
        </m:r>
        <m:r>
          <m:t>h</m:t>
        </m:r>
        <m:r>
          <m:t>e</m:t>
        </m:r>
        <m:r>
          <m:t> </m:t>
        </m:r>
      </m:oMath>
      <w:r>
        <w:t xml:space="preserve">600 million Eurobond due mid-July, which management said would bring gross leverage below 3x exiting the year. Net debt/adjusted EBITDA stood at 2.8x at Q1-end. Watch for confirmation the bond was retired as planned and any update on buyback pace, especially with the stock now well above where it traded when the $1.06 EPS beat was announced.</w:t>
      </w:r>
    </w:p>
    <w:p>
      <w:pPr>
        <w:pStyle w:val="BodyText"/>
      </w:pPr>
      <w:r>
        <w:rPr>
          <w:b/>
          <w:bCs/>
        </w:rPr>
        <w:t xml:space="preserve">6. Tariffs, FX, and macro noise</w:t>
      </w:r>
      <w:r>
        <w:t xml:space="preserve"> </w:t>
      </w:r>
      <w:r>
        <w:t xml:space="preserve">Management has repeatedly flagged tariffs, an extra fiscal week in Q1, and FX as swing factors; FX is now assumed to be a ~50bp tailwind to 2026 growth (down from a prior ~100bp assumption). Any incremental change in FX or tariff assumptions would move the guidance math directly.</w:t>
      </w:r>
    </w:p>
    <w:bookmarkEnd w:id="13"/>
    <w:bookmarkStart w:id="14" w:name="bottom-line"/>
    <w:p>
      <w:pPr>
        <w:pStyle w:val="Heading2"/>
      </w:pPr>
      <w:r>
        <w:t xml:space="preserve">Bottom Line</w:t>
      </w:r>
    </w:p>
    <w:p>
      <w:pPr>
        <w:pStyle w:val="FirstParagraph"/>
      </w:pPr>
      <w:r>
        <w:t xml:space="preserve">Going into this print, the bar looks fair rather than low: consensus EPS (~</w:t>
      </w:r>
      <m:oMath>
        <m:r>
          <m:t>1.22</m:t>
        </m:r>
        <m:r>
          <m:rPr>
            <m:sty m:val="p"/>
          </m:rPr>
          <m:t>–</m:t>
        </m:r>
      </m:oMath>
      <w:r>
        <w:t xml:space="preserve">1.23) and revenue (~</w:t>
      </w:r>
      <m:oMath>
        <m:r>
          <m:t>704</m:t>
        </m:r>
        <m:r>
          <m:rPr>
            <m:sty m:val="p"/>
          </m:rPr>
          <m:t>–</m:t>
        </m:r>
        <m:r>
          <m:t>705</m:t>
        </m:r>
        <m:r>
          <m:t>m</m:t>
        </m:r>
        <m:r>
          <m:t>i</m:t>
        </m:r>
        <m:r>
          <m:t>l</m:t>
        </m:r>
        <m:r>
          <m:t>l</m:t>
        </m:r>
        <m:r>
          <m:t>i</m:t>
        </m:r>
        <m:r>
          <m:t>o</m:t>
        </m:r>
        <m:r>
          <m:t>n</m:t>
        </m:r>
        <m:r>
          <m:t>p</m:t>
        </m:r>
        <m:r>
          <m:t>r</m:t>
        </m:r>
        <m:r>
          <m:t>o</m:t>
        </m:r>
        <m:r>
          <m:t>f</m:t>
        </m:r>
        <m:r>
          <m:t>o</m:t>
        </m:r>
        <m:r>
          <m:t>r</m:t>
        </m:r>
        <m:r>
          <m:t>m</m:t>
        </m:r>
        <m:r>
          <m:t>a</m:t>
        </m:r>
        <m:r>
          <m:rPr>
            <m:sty m:val="p"/>
          </m:rPr>
          <m:t>−</m:t>
        </m:r>
        <m:r>
          <m:t>e</m:t>
        </m:r>
        <m:r>
          <m:t>q</m:t>
        </m:r>
        <m:r>
          <m:t>u</m:t>
        </m:r>
        <m:r>
          <m:t>i</m:t>
        </m:r>
        <m:r>
          <m:t>v</m:t>
        </m:r>
        <m:r>
          <m:t>a</m:t>
        </m:r>
        <m:r>
          <m:t>l</m:t>
        </m:r>
        <m:r>
          <m:t>e</m:t>
        </m:r>
        <m:r>
          <m:t>n</m:t>
        </m:r>
        <m:r>
          <m:t>t</m:t>
        </m:r>
        <m:r>
          <m:rPr>
            <m:sty m:val="p"/>
          </m:rPr>
          <m:t>)</m:t>
        </m:r>
        <m:r>
          <m:t>s</m:t>
        </m:r>
        <m:r>
          <m:t>i</m:t>
        </m:r>
        <m:r>
          <m:t>t</m:t>
        </m:r>
        <m:r>
          <m:t>r</m:t>
        </m:r>
        <m:r>
          <m:t>i</m:t>
        </m:r>
        <m:r>
          <m:t>g</m:t>
        </m:r>
        <m:r>
          <m:t>h</m:t>
        </m:r>
        <m:r>
          <m:t>t</m:t>
        </m:r>
        <m:r>
          <m:t>i</m:t>
        </m:r>
        <m:r>
          <m:t>n</m:t>
        </m:r>
        <m:r>
          <m:t>l</m:t>
        </m:r>
        <m:r>
          <m:t>i</m:t>
        </m:r>
        <m:r>
          <m:t>n</m:t>
        </m:r>
        <m:r>
          <m:t>e</m:t>
        </m:r>
        <m:r>
          <m:t>w</m:t>
        </m:r>
        <m:r>
          <m:t>i</m:t>
        </m:r>
        <m:r>
          <m:t>t</m:t>
        </m:r>
        <m:r>
          <m:t>h</m:t>
        </m:r>
        <m:r>
          <m:t>m</m:t>
        </m:r>
        <m:r>
          <m:t>a</m:t>
        </m:r>
        <m:r>
          <m:t>n</m:t>
        </m:r>
        <m:r>
          <m:t>a</m:t>
        </m:r>
        <m:r>
          <m:t>g</m:t>
        </m:r>
        <m:r>
          <m:t>e</m:t>
        </m:r>
        <m:r>
          <m:t>m</m:t>
        </m:r>
        <m:r>
          <m:t>e</m:t>
        </m:r>
        <m:r>
          <m:t>n</m:t>
        </m:r>
        <m:sSup>
          <m:e>
            <m:r>
              <m:t>t</m:t>
            </m:r>
          </m:e>
          <m:sup>
            <m:r>
              <m:rPr>
                <m:sty m:val="p"/>
              </m:rPr>
              <m:t>′</m:t>
            </m:r>
          </m:sup>
        </m:sSup>
        <m:r>
          <m:t>s</m:t>
        </m:r>
        <m:r>
          <m:t>o</m:t>
        </m:r>
        <m:r>
          <m:t>w</m:t>
        </m:r>
        <m:r>
          <m:t>n</m:t>
        </m:r>
        <m:r>
          <m:t>Q</m:t>
        </m:r>
        <m:r>
          <m:t>2</m:t>
        </m:r>
        <m:r>
          <m:t>f</m:t>
        </m:r>
        <m:r>
          <m:t>r</m:t>
        </m:r>
        <m:r>
          <m:t>a</m:t>
        </m:r>
        <m:r>
          <m:t>m</m:t>
        </m:r>
        <m:r>
          <m:t>e</m:t>
        </m:r>
        <m:r>
          <m:t>w</m:t>
        </m:r>
        <m:r>
          <m:t>o</m:t>
        </m:r>
        <m:r>
          <m:t>r</m:t>
        </m:r>
        <m:r>
          <m:t>k</m:t>
        </m:r>
        <m:r>
          <m:rPr>
            <m:sty m:val="p"/>
          </m:rPr>
          <m:t>(</m:t>
        </m:r>
      </m:oMath>
      <w:r>
        <w:t xml:space="preserve">699–707M revenue, ~27% pro forma adjusted operating margin, ~$1.20–1.22 implied EPS). The stock has already re-rated meaningfully since the Q1 beat and divestiture announcement, so the setup is less about a straightforward beat-and-raise and more about (1) confirmation that the China IDx divestiture is progressing on schedule (a definitive agreement was targeted for Q2), (2) evidence that the nascent pharma/biotech and academic recovery flagged in Q1 is continuing into Q2, and (3) proof that the margin bridge to 27% this quarter — and ultimately 28.4% for the year — is tracking as the cost-productivity program nears completion. Any wobble on these fronts, given where the stock and price targets now sit, could matter more to the reaction than the headline EPS number itself.</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2026-08-04T00:10:56Z</dcterms:created>
  <dcterms:modified xsi:type="dcterms:W3CDTF">2026-08-04T00:10:56Z</dcterms:modified>
</cp:coreProperties>
</file>

<file path=docProps/custom.xml><?xml version="1.0" encoding="utf-8"?>
<Properties xmlns="http://schemas.openxmlformats.org/officeDocument/2006/custom-properties" xmlns:vt="http://schemas.openxmlformats.org/officeDocument/2006/docPropsVTypes"/>
</file>