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vty-earnings-predictions--2026-08-04"/>
    <w:p>
      <w:pPr>
        <w:pStyle w:val="Heading1"/>
      </w:pPr>
      <w:r>
        <w:t xml:space="preserve">RVTY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pro forma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~$710.0M vs. cons $703.6M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pro forma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~$1.24 vs. cons $1.22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pro forma 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~27.3% vs. cons 27.0%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pro forma revenue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~$2.845B vs. cons $2.829B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pro forma organic growth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~3.75% vs. cons 3.50%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pro forma 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~$5.30 vs. cons $5.25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pro forma adjusted operating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~28.5% vs. cons 28.4%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pro forma adjusted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~29.0% vs. cons 29.0%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+2.2% (STABILIZE)</w:t>
            </w:r>
          </w:p>
        </w:tc>
        <w:tc>
          <w:tcPr/>
          <w:p>
            <w:pPr>
              <w:pStyle w:val="Compact"/>
            </w:pPr>
            <w:r>
              <w:t xml:space="preserve">A modest Q2 beat and small FY2026 raise should support the initial move, but the out-period math limits follow-through: guide ~$5.30 vs. cons $5.25, less Q1 EPS of $1.04 and predicted Q2 EPS of</w:t>
            </w:r>
            <w:r>
              <w:t xml:space="preserve"> </w:t>
            </w:r>
            <m:oMath>
              <m:r>
                <m:t>1.24</m:t>
              </m:r>
              <m:r>
                <m:rPr>
                  <m:sty m:val="p"/>
                </m:rPr>
                <m:t>,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H</m:t>
              </m:r>
              <m:r>
                <m:t>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3.02 vs. cons ~$3.02. With no implicit H2 estimate cut but limited incremental upside after the rerating, the gain should stabilize rather than materially extend or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2026-08-04T00:04:40Z</dcterms:created>
  <dcterms:modified xsi:type="dcterms:W3CDTF">2026-08-04T00:04:40Z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