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rvty-q2-2026-earnings-preview"/>
    <w:p>
      <w:pPr>
        <w:pStyle w:val="Heading1"/>
      </w:pPr>
      <w:r>
        <w:t xml:space="preserve">RVTY Q2 2026 Earnings Preview</w:t>
      </w:r>
    </w:p>
    <w:p>
      <w:pPr>
        <w:pStyle w:val="FirstParagraph"/>
      </w:pPr>
      <w:r>
        <w:rPr>
          <w:b/>
          <w:bCs/>
        </w:rPr>
        <w:t xml:space="preserve">Event:</w:t>
      </w:r>
      <w:r>
        <w:t xml:space="preserve"> </w:t>
      </w:r>
      <w:r>
        <w:t xml:space="preserve">Tuesday,</w:t>
      </w:r>
      <w:r>
        <w:t xml:space="preserve"> </w:t>
      </w:r>
      <w:r>
        <w:rPr>
          <w:b/>
          <w:bCs/>
        </w:rPr>
        <w:t xml:space="preserve">August 4, 2026</w:t>
      </w:r>
      <w:r>
        <w:t xml:space="preserve">, before market open; earnings call at</w:t>
      </w:r>
      <w:r>
        <w:t xml:space="preserve"> </w:t>
      </w:r>
      <w:r>
        <w:rPr>
          <w:b/>
          <w:bCs/>
        </w:rPr>
        <w:t xml:space="preserve">7:30 a.m. ET</w:t>
      </w:r>
      <w:r>
        <w:t xml:space="preserve">. (</w:t>
      </w:r>
      <w:hyperlink r:id="rId9">
        <w:r>
          <w:rPr>
            <w:rStyle w:val="Hyperlink"/>
          </w:rPr>
          <w:t xml:space="preserve">ir.revvity.com</w:t>
        </w:r>
      </w:hyperlink>
      <w:r>
        <w:t xml:space="preserve">)</w:t>
      </w:r>
    </w:p>
    <w:bookmarkStart w:id="10" w:name="bottom-line"/>
    <w:p>
      <w:pPr>
        <w:pStyle w:val="Heading2"/>
      </w:pPr>
      <w:r>
        <w:t xml:space="preserve">Bottom line</w:t>
      </w:r>
    </w:p>
    <w:p>
      <w:pPr>
        <w:pStyle w:val="FirstParagraph"/>
      </w:pPr>
      <w:r>
        <w:t xml:space="preserve">Revvity enters Q2 with a cleaner narrative than it had a quarter ago: improving underlying demand in Life Sciences, sustained strength in reproductive health, and a planned exit from China immunodiagnostics that removes a structurally pressured, lower-margin business from the go-forward framework.</w:t>
      </w:r>
    </w:p>
    <w:p>
      <w:pPr>
        <w:pStyle w:val="BodyText"/>
      </w:pPr>
      <w:r>
        <w:t xml:space="preserve">The setup is therefore</w:t>
      </w:r>
      <w:r>
        <w:t xml:space="preserve"> </w:t>
      </w:r>
      <w:r>
        <w:rPr>
          <w:b/>
          <w:bCs/>
        </w:rPr>
        <w:t xml:space="preserve">less about a headline EPS beat</w:t>
      </w:r>
      <w:r>
        <w:t xml:space="preserve"> </w:t>
      </w:r>
      <w:r>
        <w:t xml:space="preserve">and more about whether Q2 validates three assertions management made in May:</w:t>
      </w:r>
    </w:p>
    <w:p>
      <w:pPr>
        <w:pStyle w:val="Compact"/>
        <w:numPr>
          <w:ilvl w:val="0"/>
          <w:numId w:val="1001"/>
        </w:numPr>
      </w:pPr>
      <w:r>
        <w:rPr>
          <w:b/>
          <w:bCs/>
        </w:rPr>
        <w:t xml:space="preserve">Core demand is stabilizing</w:t>
      </w:r>
      <w:r>
        <w:t xml:space="preserve"> </w:t>
      </w:r>
      <w:r>
        <w:t xml:space="preserve">across pharma/biotech and academic/government customers.</w:t>
      </w:r>
    </w:p>
    <w:p>
      <w:pPr>
        <w:pStyle w:val="Compact"/>
        <w:numPr>
          <w:ilvl w:val="0"/>
          <w:numId w:val="1001"/>
        </w:numPr>
      </w:pPr>
      <w:r>
        <w:rPr>
          <w:b/>
          <w:bCs/>
        </w:rPr>
        <w:t xml:space="preserve">Diagnostics strength is durable</w:t>
      </w:r>
      <w:r>
        <w:t xml:space="preserve">, especially reproductive health and immunodiagnostics outside China.</w:t>
      </w:r>
    </w:p>
    <w:p>
      <w:pPr>
        <w:pStyle w:val="Compact"/>
        <w:numPr>
          <w:ilvl w:val="0"/>
          <w:numId w:val="1001"/>
        </w:numPr>
      </w:pPr>
      <w:r>
        <w:rPr>
          <w:b/>
          <w:bCs/>
        </w:rPr>
        <w:t xml:space="preserve">Margin expansion can accelerate in 2H26</w:t>
      </w:r>
      <w:r>
        <w:t xml:space="preserve"> </w:t>
      </w:r>
      <w:r>
        <w:t xml:space="preserve">as cost actions become effective.</w:t>
      </w:r>
    </w:p>
    <w:p>
      <w:pPr>
        <w:pStyle w:val="FirstParagraph"/>
      </w:pPr>
      <w:r>
        <w:t xml:space="preserve">Management’s own Q2 framework is for</w:t>
      </w:r>
      <w:r>
        <w:t xml:space="preserve"> </w:t>
      </w:r>
      <w:r>
        <w:rPr>
          <w:b/>
          <w:bCs/>
        </w:rPr>
        <w:t xml:space="preserve">2%–3% pro forma organic growth</w:t>
      </w:r>
      <w:r>
        <w:t xml:space="preserve">,</w:t>
      </w:r>
      <w:r>
        <w:t xml:space="preserve"> </w:t>
      </w:r>
      <m:oMath>
        <m:r>
          <m:t>699</m:t>
        </m:r>
        <m:r>
          <m:t>m</m:t>
        </m:r>
        <m:r>
          <m:t>i</m:t>
        </m:r>
        <m:r>
          <m:t>l</m:t>
        </m:r>
        <m:r>
          <m:t>l</m:t>
        </m:r>
        <m:r>
          <m:t>i</m:t>
        </m:r>
        <m:r>
          <m:t>o</m:t>
        </m:r>
        <m:r>
          <m:t>n</m:t>
        </m:r>
        <m:r>
          <m:rPr>
            <m:sty m:val="p"/>
          </m:rPr>
          <m:t>–</m:t>
        </m:r>
      </m:oMath>
      <w:r>
        <w:rPr>
          <w:b/>
          <w:bCs/>
        </w:rPr>
        <w:t xml:space="preserve">707 million of pro forma revenue</w:t>
      </w:r>
      <w:r>
        <w:t xml:space="preserve">, roughly</w:t>
      </w:r>
      <w:r>
        <w:t xml:space="preserve"> </w:t>
      </w:r>
      <w:r>
        <w:rPr>
          <w:b/>
          <w:bCs/>
        </w:rPr>
        <w:t xml:space="preserve">27% pro forma adjusted operating margin</w:t>
      </w:r>
      <w:r>
        <w:t xml:space="preserve">, and adjusted EPS equal to about</w:t>
      </w:r>
      <w:r>
        <w:t xml:space="preserve"> </w:t>
      </w:r>
      <w:r>
        <w:rPr>
          <w:b/>
          <w:bCs/>
        </w:rPr>
        <w:t xml:space="preserve">23% of full-year guidance</w:t>
      </w:r>
      <w:r>
        <w:t xml:space="preserve">—or approximately</w:t>
      </w:r>
      <w:r>
        <w:t xml:space="preserve"> </w:t>
      </w:r>
      <m:oMath>
        <m:r>
          <m:t>1.20</m:t>
        </m:r>
        <m:r>
          <m:rPr>
            <m:sty m:val="p"/>
          </m:rPr>
          <m:t>–</m:t>
        </m:r>
      </m:oMath>
      <w:r>
        <w:rPr>
          <w:b/>
          <w:bCs/>
        </w:rPr>
        <w:t xml:space="preserve">1.22</w:t>
      </w:r>
      <w:r>
        <w:t xml:space="preserve"> </w:t>
      </w:r>
      <w:r>
        <w:t xml:space="preserve">based on the</w:t>
      </w:r>
      <w:r>
        <w:t xml:space="preserve"> </w:t>
      </w:r>
      <m:oMath>
        <m:r>
          <m:t>5.20</m:t>
        </m:r>
        <m:r>
          <m:rPr>
            <m:sty m:val="p"/>
          </m:rPr>
          <m:t>–</m:t>
        </m:r>
      </m:oMath>
      <w:r>
        <w:t xml:space="preserve">5.30 full-year range. That outlook intentionally excludes the China immunodiagnostics business slated for divestiture.</w:t>
      </w:r>
    </w:p>
    <w:bookmarkEnd w:id="10"/>
    <w:bookmarkStart w:id="11" w:name="what-matters-most-this-quarter"/>
    <w:p>
      <w:pPr>
        <w:pStyle w:val="Heading2"/>
      </w:pPr>
      <w:r>
        <w:t xml:space="preserve">What matters most this quarter</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Area</w:t>
            </w:r>
          </w:p>
        </w:tc>
        <w:tc>
          <w:tcPr/>
          <w:p>
            <w:pPr>
              <w:pStyle w:val="Compact"/>
            </w:pPr>
            <w:r>
              <w:t xml:space="preserve">What investors should look for</w:t>
            </w:r>
          </w:p>
        </w:tc>
        <w:tc>
          <w:tcPr/>
          <w:p>
            <w:pPr>
              <w:pStyle w:val="Compact"/>
            </w:pPr>
            <w:r>
              <w:t xml:space="preserve">Why it matters</w:t>
            </w:r>
          </w:p>
        </w:tc>
      </w:tr>
      <w:tr>
        <w:tc>
          <w:tcPr/>
          <w:p>
            <w:pPr>
              <w:pStyle w:val="Compact"/>
            </w:pPr>
            <w:r>
              <w:rPr>
                <w:b/>
                <w:bCs/>
              </w:rPr>
              <w:t xml:space="preserve">Organic growth</w:t>
            </w:r>
          </w:p>
        </w:tc>
        <w:tc>
          <w:tcPr/>
          <w:p>
            <w:pPr>
              <w:pStyle w:val="Compact"/>
            </w:pPr>
            <w:r>
              <w:t xml:space="preserve">Delivery at or above the</w:t>
            </w:r>
            <w:r>
              <w:t xml:space="preserve"> </w:t>
            </w:r>
            <w:r>
              <w:rPr>
                <w:b/>
                <w:bCs/>
              </w:rPr>
              <w:t xml:space="preserve">2%–3%</w:t>
            </w:r>
            <w:r>
              <w:t xml:space="preserve"> </w:t>
            </w:r>
            <w:r>
              <w:t xml:space="preserve">pro forma organic-growth outlook</w:t>
            </w:r>
          </w:p>
        </w:tc>
        <w:tc>
          <w:tcPr/>
          <w:p>
            <w:pPr>
              <w:pStyle w:val="Compact"/>
            </w:pPr>
            <w:r>
              <w:t xml:space="preserve">Establishes whether Q1’s 6% pro forma growth was a one-off strong quarter or the start of a broader recovery.</w:t>
            </w:r>
          </w:p>
        </w:tc>
      </w:tr>
      <w:tr>
        <w:tc>
          <w:tcPr/>
          <w:p>
            <w:pPr>
              <w:pStyle w:val="Compact"/>
            </w:pPr>
            <w:r>
              <w:rPr>
                <w:b/>
                <w:bCs/>
              </w:rPr>
              <w:t xml:space="preserve">Life Sciences demand</w:t>
            </w:r>
          </w:p>
        </w:tc>
        <w:tc>
          <w:tcPr/>
          <w:p>
            <w:pPr>
              <w:pStyle w:val="Compact"/>
            </w:pPr>
            <w:r>
              <w:t xml:space="preserve">Low-single-digit growth in Life Science Solutions and evidence that instruments/reagents remain positive</w:t>
            </w:r>
          </w:p>
        </w:tc>
        <w:tc>
          <w:tcPr/>
          <w:p>
            <w:pPr>
              <w:pStyle w:val="Compact"/>
            </w:pPr>
            <w:r>
              <w:t xml:space="preserve">This is the key cyclical variable: pharma/biotech and academic budgets had been weak, so continued improvement would support a higher 2027 earnings base.</w:t>
            </w:r>
          </w:p>
        </w:tc>
      </w:tr>
      <w:tr>
        <w:tc>
          <w:tcPr/>
          <w:p>
            <w:pPr>
              <w:pStyle w:val="Compact"/>
            </w:pPr>
            <w:r>
              <w:rPr>
                <w:b/>
                <w:bCs/>
              </w:rPr>
              <w:t xml:space="preserve">Software cadence</w:t>
            </w:r>
          </w:p>
        </w:tc>
        <w:tc>
          <w:tcPr/>
          <w:p>
            <w:pPr>
              <w:pStyle w:val="Compact"/>
            </w:pPr>
            <w:r>
              <w:t xml:space="preserve">A likely sharp organic decline in Q2 due to difficult comparison and contract timing, alongside continued SaaS/ARR and pipeline progress</w:t>
            </w:r>
          </w:p>
        </w:tc>
        <w:tc>
          <w:tcPr/>
          <w:p>
            <w:pPr>
              <w:pStyle w:val="Compact"/>
            </w:pPr>
            <w:r>
              <w:t xml:space="preserve">Investors should not overreact to reported software growth alone; bookings and annualized portfolio value are more useful indicators of the medium-term opportunity.</w:t>
            </w:r>
          </w:p>
        </w:tc>
      </w:tr>
      <w:tr>
        <w:tc>
          <w:tcPr/>
          <w:p>
            <w:pPr>
              <w:pStyle w:val="Compact"/>
            </w:pPr>
            <w:r>
              <w:rPr>
                <w:b/>
                <w:bCs/>
              </w:rPr>
              <w:t xml:space="preserve">Diagnostics</w:t>
            </w:r>
          </w:p>
        </w:tc>
        <w:tc>
          <w:tcPr/>
          <w:p>
            <w:pPr>
              <w:pStyle w:val="Compact"/>
            </w:pPr>
            <w:r>
              <w:t xml:space="preserve">Mid- to high-single-digit growth, led by reproductive health; performance of immunodiagnostics ex-China</w:t>
            </w:r>
          </w:p>
        </w:tc>
        <w:tc>
          <w:tcPr/>
          <w:p>
            <w:pPr>
              <w:pStyle w:val="Compact"/>
            </w:pPr>
            <w:r>
              <w:t xml:space="preserve">This segment provided the strongest Q1 growth and is central to offsetting a softer software quarter.</w:t>
            </w:r>
          </w:p>
        </w:tc>
      </w:tr>
      <w:tr>
        <w:tc>
          <w:tcPr/>
          <w:p>
            <w:pPr>
              <w:pStyle w:val="Compact"/>
            </w:pPr>
            <w:r>
              <w:rPr>
                <w:b/>
                <w:bCs/>
              </w:rPr>
              <w:t xml:space="preserve">Margins</w:t>
            </w:r>
          </w:p>
        </w:tc>
        <w:tc>
          <w:tcPr/>
          <w:p>
            <w:pPr>
              <w:pStyle w:val="Compact"/>
            </w:pPr>
            <w:r>
              <w:t xml:space="preserve">Ability to reach ~</w:t>
            </w:r>
            <w:r>
              <w:rPr>
                <w:b/>
                <w:bCs/>
              </w:rPr>
              <w:t xml:space="preserve">27%</w:t>
            </w:r>
            <w:r>
              <w:t xml:space="preserve"> </w:t>
            </w:r>
            <w:r>
              <w:t xml:space="preserve">pro forma adjusted operating margin</w:t>
            </w:r>
          </w:p>
        </w:tc>
        <w:tc>
          <w:tcPr/>
          <w:p>
            <w:pPr>
              <w:pStyle w:val="Compact"/>
            </w:pPr>
            <w:r>
              <w:t xml:space="preserve">The quarter should show the early benefit of seasonal volume, FX, and productivity actions; more meaningful cost-action impact is expected in 2H.</w:t>
            </w:r>
          </w:p>
        </w:tc>
      </w:tr>
      <w:tr>
        <w:tc>
          <w:tcPr/>
          <w:p>
            <w:pPr>
              <w:pStyle w:val="Compact"/>
            </w:pPr>
            <w:r>
              <w:rPr>
                <w:b/>
                <w:bCs/>
              </w:rPr>
              <w:t xml:space="preserve">2026 guidance</w:t>
            </w:r>
          </w:p>
        </w:tc>
        <w:tc>
          <w:tcPr/>
          <w:p>
            <w:pPr>
              <w:pStyle w:val="Compact"/>
            </w:pPr>
            <w:r>
              <w:t xml:space="preserve">Reaffirmation or raise of</w:t>
            </w:r>
            <w:r>
              <w:t xml:space="preserve"> </w:t>
            </w:r>
            <m:oMath>
              <m:r>
                <m:t>2.81</m:t>
              </m:r>
              <m:r>
                <m:t>B</m:t>
              </m:r>
              <m:r>
                <m:rPr>
                  <m:sty m:val="p"/>
                </m:rPr>
                <m:t>–</m:t>
              </m:r>
            </m:oMath>
            <w:r>
              <w:rPr>
                <w:b/>
                <w:bCs/>
              </w:rPr>
              <w:t xml:space="preserve">2.84B revenue</w:t>
            </w:r>
            <w:r>
              <w:t xml:space="preserve">,</w:t>
            </w:r>
            <w:r>
              <w:t xml:space="preserve"> </w:t>
            </w:r>
            <w:r>
              <w:rPr>
                <w:b/>
                <w:bCs/>
              </w:rPr>
              <w:t xml:space="preserve">3%–4% pro forma organic growth</w:t>
            </w:r>
            <w:r>
              <w:t xml:space="preserve">, and</w:t>
            </w:r>
            <w:r>
              <w:t xml:space="preserve"> </w:t>
            </w:r>
            <m:oMath>
              <m:r>
                <m:t>5.20</m:t>
              </m:r>
              <m:r>
                <m:rPr>
                  <m:sty m:val="p"/>
                </m:rPr>
                <m:t>–</m:t>
              </m:r>
            </m:oMath>
            <w:r>
              <w:rPr>
                <w:b/>
                <w:bCs/>
              </w:rPr>
              <w:t xml:space="preserve">5.30 adjusted EPS</w:t>
            </w:r>
          </w:p>
        </w:tc>
        <w:tc>
          <w:tcPr/>
          <w:p>
            <w:pPr>
              <w:pStyle w:val="Compact"/>
            </w:pPr>
            <w:r>
              <w:t xml:space="preserve">With the stock higher into the print, unchanged guidance may be adequate, but a raise would require better confidence in end-market improvement.</w:t>
            </w:r>
          </w:p>
        </w:tc>
      </w:tr>
    </w:tbl>
    <w:bookmarkEnd w:id="11"/>
    <w:bookmarkStart w:id="13" w:name="X9a00992f37f171781a9aaa1151ddd10b9f27a57"/>
    <w:p>
      <w:pPr>
        <w:pStyle w:val="Heading2"/>
      </w:pPr>
      <w:r>
        <w:t xml:space="preserve">Starting point: Q1 was better than the headline growth rate</w:t>
      </w:r>
    </w:p>
    <w:p>
      <w:pPr>
        <w:pStyle w:val="FirstParagraph"/>
      </w:pPr>
      <w:r>
        <w:t xml:space="preserve">Q1 reported revenue was</w:t>
      </w:r>
      <w:r>
        <w:t xml:space="preserve"> </w:t>
      </w:r>
      <m:oMath>
        <m:r>
          <m:t>711</m:t>
        </m:r>
        <m:r>
          <m:t>m</m:t>
        </m:r>
        <m:r>
          <m:t>i</m:t>
        </m:r>
        <m:r>
          <m:t>l</m:t>
        </m:r>
        <m:r>
          <m:t>l</m:t>
        </m:r>
        <m:r>
          <m:t>i</m:t>
        </m:r>
        <m:r>
          <m:t>o</m:t>
        </m:r>
        <m:r>
          <m:t>n</m:t>
        </m:r>
        <m:r>
          <m:rPr>
            <m:sty m:val="p"/>
          </m:rPr>
          <m:t>*</m:t>
        </m:r>
        <m:r>
          <m:rPr>
            <m:sty m:val="p"/>
          </m:rPr>
          <m:t>*</m:t>
        </m:r>
        <m:r>
          <m:rPr>
            <m:sty m:val="p"/>
          </m:rPr>
          <m:t>,</m:t>
        </m:r>
        <m:r>
          <m:t>u</m:t>
        </m:r>
        <m:r>
          <m:t>p</m:t>
        </m:r>
        <m:r>
          <m:t>7</m:t>
        </m:r>
      </m:oMath>
      <w:r>
        <w:rPr>
          <w:b/>
          <w:bCs/>
        </w:rPr>
        <w:t xml:space="preserve">687 million</w:t>
      </w:r>
      <w:r>
        <w:t xml:space="preserve">, organic growth was</w:t>
      </w:r>
      <w:r>
        <w:t xml:space="preserve"> </w:t>
      </w:r>
      <w:r>
        <w:rPr>
          <w:b/>
          <w:bCs/>
        </w:rPr>
        <w:t xml:space="preserve">6%</w:t>
      </w:r>
      <w:r>
        <w:t xml:space="preserve">, adjusted operating margin was</w:t>
      </w:r>
      <w:r>
        <w:t xml:space="preserve"> </w:t>
      </w:r>
      <w:r>
        <w:rPr>
          <w:b/>
          <w:bCs/>
        </w:rPr>
        <w:t xml:space="preserve">24.0%</w:t>
      </w:r>
      <w:r>
        <w:t xml:space="preserve">, and adjusted EPS was</w:t>
      </w:r>
      <w:r>
        <w:t xml:space="preserve"> </w:t>
      </w:r>
      <w:r>
        <w:rPr>
          <w:b/>
          <w:bCs/>
        </w:rPr>
        <w:t xml:space="preserve">$1.04</w:t>
      </w:r>
      <w:r>
        <w:t xml:space="preserve">. (</w:t>
      </w:r>
      <w:hyperlink r:id="rId12">
        <w:r>
          <w:rPr>
            <w:rStyle w:val="Hyperlink"/>
          </w:rPr>
          <w:t xml:space="preserve">ir.revvity.com</w:t>
        </w:r>
      </w:hyperlink>
      <w:r>
        <w:t xml:space="preserve">)</w:t>
      </w:r>
    </w:p>
    <w:p>
      <w:pPr>
        <w:pStyle w:val="BodyText"/>
      </w:pPr>
      <w:r>
        <w:t xml:space="preserve">The segment read-through was constructive:</w:t>
      </w:r>
    </w:p>
    <w:p>
      <w:pPr>
        <w:pStyle w:val="Compact"/>
        <w:numPr>
          <w:ilvl w:val="0"/>
          <w:numId w:val="1002"/>
        </w:numPr>
      </w:pPr>
      <w:r>
        <w:rPr>
          <w:b/>
          <w:bCs/>
        </w:rPr>
        <w:t xml:space="preserve">Life Sciences</w:t>
      </w:r>
      <w:r>
        <w:t xml:space="preserve"> </w:t>
      </w:r>
      <w:r>
        <w:t xml:space="preserve">delivered</w:t>
      </w:r>
      <w:r>
        <w:t xml:space="preserve"> </w:t>
      </w:r>
      <w:r>
        <w:rPr>
          <w:b/>
          <w:bCs/>
        </w:rPr>
        <w:t xml:space="preserve">3% organic growth</w:t>
      </w:r>
      <w:r>
        <w:t xml:space="preserve">. Management cited better pharma/biotech and academic activity, low-single-digit reagent growth, and mid-single-digit instrument growth.</w:t>
      </w:r>
    </w:p>
    <w:p>
      <w:pPr>
        <w:pStyle w:val="Compact"/>
        <w:numPr>
          <w:ilvl w:val="0"/>
          <w:numId w:val="1002"/>
        </w:numPr>
      </w:pPr>
      <w:r>
        <w:rPr>
          <w:b/>
          <w:bCs/>
        </w:rPr>
        <w:t xml:space="preserve">Diagnostics</w:t>
      </w:r>
      <w:r>
        <w:t xml:space="preserve"> </w:t>
      </w:r>
      <w:r>
        <w:t xml:space="preserve">delivered</w:t>
      </w:r>
      <w:r>
        <w:t xml:space="preserve"> </w:t>
      </w:r>
      <w:r>
        <w:rPr>
          <w:b/>
          <w:bCs/>
        </w:rPr>
        <w:t xml:space="preserve">9% pro forma organic growth</w:t>
      </w:r>
      <w:r>
        <w:t xml:space="preserve">, led by double-digit reproductive-health growth and better-than-expected Genomics England volumes.</w:t>
      </w:r>
    </w:p>
    <w:p>
      <w:pPr>
        <w:pStyle w:val="Compact"/>
        <w:numPr>
          <w:ilvl w:val="0"/>
          <w:numId w:val="1002"/>
        </w:numPr>
      </w:pPr>
      <w:r>
        <w:t xml:space="preserve">Q1 adjusted margin was still below the long-term potential, but the company expects the cost-efficiency program to become materially visible starting in Q3.</w:t>
      </w:r>
    </w:p>
    <w:p>
      <w:pPr>
        <w:pStyle w:val="FirstParagraph"/>
      </w:pPr>
      <w:r>
        <w:t xml:space="preserve">The important caveat: Q1 had an extra fiscal week and strong reproductive-health performance, while Q2 has a difficult software comparison. That is why management’s Q2 organic-growth outlook steps down to 2%–3%.</w:t>
      </w:r>
    </w:p>
    <w:bookmarkEnd w:id="13"/>
    <w:bookmarkStart w:id="14" w:name="X2054e150e4af4e177193414abfe2a280b129216"/>
    <w:p>
      <w:pPr>
        <w:pStyle w:val="Heading2"/>
      </w:pPr>
      <w:r>
        <w:t xml:space="preserve">The key debate: stabilization versus a genuine recovery</w:t>
      </w:r>
    </w:p>
    <w:p>
      <w:pPr>
        <w:pStyle w:val="FirstParagraph"/>
      </w:pPr>
      <w:r>
        <w:t xml:space="preserve">The investment case rests on Revvity being more exposed to</w:t>
      </w:r>
      <w:r>
        <w:t xml:space="preserve"> </w:t>
      </w:r>
      <w:r>
        <w:rPr>
          <w:b/>
          <w:bCs/>
        </w:rPr>
        <w:t xml:space="preserve">novel science and preclinical validation workflows</w:t>
      </w:r>
      <w:r>
        <w:t xml:space="preserve"> </w:t>
      </w:r>
      <w:r>
        <w:t xml:space="preserve">than to commoditized life-science tools. The company has argued that higher-content screening, automation, liquid handling, reagents, and scientific software could benefit as AI increases the number of therapeutic hypotheses that must be validated in wet labs.</w:t>
      </w:r>
    </w:p>
    <w:p>
      <w:pPr>
        <w:pStyle w:val="BodyText"/>
      </w:pPr>
      <w:r>
        <w:t xml:space="preserve">There are tangible early signals supporting that thesis: management discussed strength in high-content screening, broader improvement in certain instrument categories, and positive growth from both pharma/biotech and academic customers in Q1. But the company has also retained a conservative full-year outlook, implying it has not yet underwritten a broad-based tools-market recovery.</w:t>
      </w:r>
    </w:p>
    <w:p>
      <w:pPr>
        <w:pStyle w:val="BodyText"/>
      </w:pPr>
      <w:r>
        <w:t xml:space="preserve">For Q2, the highest-quality outcome would be:</w:t>
      </w:r>
    </w:p>
    <w:p>
      <w:pPr>
        <w:pStyle w:val="Compact"/>
        <w:numPr>
          <w:ilvl w:val="0"/>
          <w:numId w:val="1003"/>
        </w:numPr>
      </w:pPr>
      <w:r>
        <w:t xml:space="preserve">Instrument demand remaining positive beyond high-content screening;</w:t>
      </w:r>
    </w:p>
    <w:p>
      <w:pPr>
        <w:pStyle w:val="Compact"/>
        <w:numPr>
          <w:ilvl w:val="0"/>
          <w:numId w:val="1003"/>
        </w:numPr>
      </w:pPr>
      <w:r>
        <w:t xml:space="preserve">Reagents maintaining positive growth rather than reverting to flat/down;</w:t>
      </w:r>
    </w:p>
    <w:p>
      <w:pPr>
        <w:pStyle w:val="Compact"/>
        <w:numPr>
          <w:ilvl w:val="0"/>
          <w:numId w:val="1003"/>
        </w:numPr>
      </w:pPr>
      <w:r>
        <w:t xml:space="preserve">Academic demand holding despite funding uncertainty; and</w:t>
      </w:r>
    </w:p>
    <w:p>
      <w:pPr>
        <w:pStyle w:val="Compact"/>
        <w:numPr>
          <w:ilvl w:val="0"/>
          <w:numId w:val="1003"/>
        </w:numPr>
      </w:pPr>
      <w:r>
        <w:t xml:space="preserve">Pharma/biotech customers moving from “measured” budgets toward actual order conversion.</w:t>
      </w:r>
    </w:p>
    <w:bookmarkEnd w:id="14"/>
    <w:bookmarkStart w:id="15" w:name="Xf087ddd837bc659de15da599056d3a44892c4ed"/>
    <w:p>
      <w:pPr>
        <w:pStyle w:val="Heading2"/>
      </w:pPr>
      <w:r>
        <w:t xml:space="preserve">Diagnostics: the near-term earnings stabilizer</w:t>
      </w:r>
    </w:p>
    <w:p>
      <w:pPr>
        <w:pStyle w:val="FirstParagraph"/>
      </w:pPr>
      <w:r>
        <w:t xml:space="preserve">Reproductive health remains the most important operating bright spot. In Q1, the business grew double digits organically, supported by newborn screening, instrument placements, and Genomics England sample volumes. Diagnostics overall posted 9% pro forma organic growth, although reported segment margin still declined year over year due to mix, FX, tariffs, and the extra fiscal week. (</w:t>
      </w:r>
      <w:hyperlink r:id="rId12">
        <w:r>
          <w:rPr>
            <w:rStyle w:val="Hyperlink"/>
          </w:rPr>
          <w:t xml:space="preserve">ir.revvity.com</w:t>
        </w:r>
      </w:hyperlink>
      <w:r>
        <w:t xml:space="preserve">)</w:t>
      </w:r>
    </w:p>
    <w:p>
      <w:pPr>
        <w:pStyle w:val="BodyText"/>
      </w:pPr>
      <w:r>
        <w:t xml:space="preserve">For Q2, investors should watch whether:</w:t>
      </w:r>
    </w:p>
    <w:p>
      <w:pPr>
        <w:pStyle w:val="Compact"/>
        <w:numPr>
          <w:ilvl w:val="0"/>
          <w:numId w:val="1004"/>
        </w:numPr>
      </w:pPr>
      <w:r>
        <w:t xml:space="preserve">newborn-screening growth remains above underlying global birth-rate trends;</w:t>
      </w:r>
    </w:p>
    <w:p>
      <w:pPr>
        <w:pStyle w:val="Compact"/>
        <w:numPr>
          <w:ilvl w:val="0"/>
          <w:numId w:val="1004"/>
        </w:numPr>
      </w:pPr>
      <w:r>
        <w:t xml:space="preserve">Genomics England maintains its favorable contribution;</w:t>
      </w:r>
    </w:p>
    <w:p>
      <w:pPr>
        <w:pStyle w:val="Compact"/>
        <w:numPr>
          <w:ilvl w:val="0"/>
          <w:numId w:val="1004"/>
        </w:numPr>
      </w:pPr>
      <w:r>
        <w:t xml:space="preserve">immunodiagnostics</w:t>
      </w:r>
      <w:r>
        <w:t xml:space="preserve"> </w:t>
      </w:r>
      <w:r>
        <w:rPr>
          <w:b/>
          <w:bCs/>
        </w:rPr>
        <w:t xml:space="preserve">outside China</w:t>
      </w:r>
      <w:r>
        <w:t xml:space="preserve"> </w:t>
      </w:r>
      <w:r>
        <w:t xml:space="preserve">continues to grow; and</w:t>
      </w:r>
    </w:p>
    <w:p>
      <w:pPr>
        <w:pStyle w:val="Compact"/>
        <w:numPr>
          <w:ilvl w:val="0"/>
          <w:numId w:val="1004"/>
        </w:numPr>
      </w:pPr>
      <w:r>
        <w:t xml:space="preserve">management can sustain Diagnostics growth without relying on unusually strong project timing.</w:t>
      </w:r>
    </w:p>
    <w:p>
      <w:pPr>
        <w:pStyle w:val="FirstParagraph"/>
      </w:pPr>
      <w:r>
        <w:t xml:space="preserve">A moderation in reproductive-health growth would not necessarily break the thesis, but it would raise the burden on Life Sciences to support the full-year growth outlook.</w:t>
      </w:r>
    </w:p>
    <w:bookmarkEnd w:id="15"/>
    <w:bookmarkStart w:id="16" w:name="Xa9216c7ee0222ad6ec33062fba8337da610d78d"/>
    <w:p>
      <w:pPr>
        <w:pStyle w:val="Heading2"/>
      </w:pPr>
      <w:r>
        <w:t xml:space="preserve">China divestiture: strategically positive, but execution still matters</w:t>
      </w:r>
    </w:p>
    <w:p>
      <w:pPr>
        <w:pStyle w:val="FirstParagraph"/>
      </w:pPr>
      <w:r>
        <w:t xml:space="preserve">The proposed divestiture of China immunodiagnostics is strategically central. The business represented roughly</w:t>
      </w:r>
      <w:r>
        <w:t xml:space="preserve"> </w:t>
      </w:r>
      <w:r>
        <w:rPr>
          <w:b/>
          <w:bCs/>
        </w:rPr>
        <w:t xml:space="preserve">6% of 2025 revenue</w:t>
      </w:r>
      <w:r>
        <w:t xml:space="preserve">, and Revvity has shifted its forward guidance to a pro forma basis excluding it. Management expects the divestiture to close in</w:t>
      </w:r>
      <w:r>
        <w:t xml:space="preserve"> </w:t>
      </w:r>
      <w:r>
        <w:rPr>
          <w:b/>
          <w:bCs/>
        </w:rPr>
        <w:t xml:space="preserve">2027</w:t>
      </w:r>
      <w:r>
        <w:t xml:space="preserve">, subject to a definitive agreement and regulatory approvals. (</w:t>
      </w:r>
      <w:hyperlink r:id="rId12">
        <w:r>
          <w:rPr>
            <w:rStyle w:val="Hyperlink"/>
          </w:rPr>
          <w:t xml:space="preserve">ir.revvity.com</w:t>
        </w:r>
      </w:hyperlink>
      <w:r>
        <w:t xml:space="preserve">)</w:t>
      </w:r>
    </w:p>
    <w:p>
      <w:pPr>
        <w:pStyle w:val="BodyText"/>
      </w:pPr>
      <w:r>
        <w:t xml:space="preserve">The trade-off is clear:</w:t>
      </w:r>
    </w:p>
    <w:p>
      <w:pPr>
        <w:pStyle w:val="Compact"/>
        <w:numPr>
          <w:ilvl w:val="0"/>
          <w:numId w:val="1005"/>
        </w:numPr>
      </w:pPr>
      <w:r>
        <w:rPr>
          <w:b/>
          <w:bCs/>
        </w:rPr>
        <w:t xml:space="preserve">Positive:</w:t>
      </w:r>
      <w:r>
        <w:t xml:space="preserve"> </w:t>
      </w:r>
      <w:r>
        <w:t xml:space="preserve">Removes a business facing persistent China pricing and policy pressure; lifts the company’s organic-growth rate, margin profile, and cash-conversion quality.</w:t>
      </w:r>
    </w:p>
    <w:p>
      <w:pPr>
        <w:pStyle w:val="Compact"/>
        <w:numPr>
          <w:ilvl w:val="0"/>
          <w:numId w:val="1005"/>
        </w:numPr>
      </w:pPr>
      <w:r>
        <w:rPr>
          <w:b/>
          <w:bCs/>
        </w:rPr>
        <w:t xml:space="preserve">Negative:</w:t>
      </w:r>
      <w:r>
        <w:t xml:space="preserve"> </w:t>
      </w:r>
      <w:r>
        <w:t xml:space="preserve">Reduces 2026 adjusted EPS and introduces transaction, execution, and timing risk until closing.</w:t>
      </w:r>
    </w:p>
    <w:p>
      <w:pPr>
        <w:pStyle w:val="FirstParagraph"/>
      </w:pPr>
      <w:r>
        <w:t xml:space="preserve">The August report should provide an update on whether a definitive agreement was signed during Q2, as management had targeted. Any delay, changed economics, or additional transition costs would likely become a focal point.</w:t>
      </w:r>
    </w:p>
    <w:bookmarkEnd w:id="16"/>
    <w:bookmarkStart w:id="18" w:name="Xf5ab4a6f8e428bcce989b61b6cfec2158b80fd4"/>
    <w:p>
      <w:pPr>
        <w:pStyle w:val="Heading2"/>
      </w:pPr>
      <w:r>
        <w:t xml:space="preserve">Margins and cash deployment are underappreciated swing factors</w:t>
      </w:r>
    </w:p>
    <w:p>
      <w:pPr>
        <w:pStyle w:val="FirstParagraph"/>
      </w:pPr>
      <w:r>
        <w:t xml:space="preserve">The Q1 filing showed that tariffs, product mix, FX, and the extra fiscal week drove a</w:t>
      </w:r>
      <w:r>
        <w:t xml:space="preserve"> </w:t>
      </w:r>
      <w:r>
        <w:rPr>
          <w:b/>
          <w:bCs/>
        </w:rPr>
        <w:t xml:space="preserve">200-basis-point decline in reported gross margin</w:t>
      </w:r>
      <w:r>
        <w:t xml:space="preserve">. Tariffs alone raised Q1 cost of revenue by about</w:t>
      </w:r>
      <w:r>
        <w:t xml:space="preserve"> </w:t>
      </w:r>
      <m:oMath>
        <m:r>
          <m:t>8</m:t>
        </m:r>
        <m:r>
          <m:t>m</m:t>
        </m:r>
        <m:r>
          <m:t>i</m:t>
        </m:r>
        <m:r>
          <m:t>l</m:t>
        </m:r>
        <m:r>
          <m:t>l</m:t>
        </m:r>
        <m:r>
          <m:t>i</m:t>
        </m:r>
        <m:r>
          <m:t>o</m:t>
        </m:r>
        <m:r>
          <m:t>n</m:t>
        </m:r>
        <m:r>
          <m:rPr>
            <m:sty m:val="p"/>
          </m:rPr>
          <m:t>*</m:t>
        </m:r>
        <m:r>
          <m:rPr>
            <m:sty m:val="p"/>
          </m:rPr>
          <m:t>*</m:t>
        </m:r>
        <m:r>
          <m:rPr>
            <m:sty m:val="p"/>
          </m:rPr>
          <m:t>,</m:t>
        </m:r>
        <m:r>
          <m:t>w</m:t>
        </m:r>
        <m:r>
          <m:t>i</m:t>
        </m:r>
        <m:r>
          <m:t>t</m:t>
        </m:r>
        <m:r>
          <m:t>h</m:t>
        </m:r>
        <m:r>
          <m:t>a</m:t>
        </m:r>
        <m:r>
          <m:t>n</m:t>
        </m:r>
        <m:r>
          <m:t>e</m:t>
        </m:r>
        <m:r>
          <m:t>s</m:t>
        </m:r>
        <m:r>
          <m:t>t</m:t>
        </m:r>
        <m:r>
          <m:t>i</m:t>
        </m:r>
        <m:r>
          <m:t>m</m:t>
        </m:r>
        <m:r>
          <m:t>a</m:t>
        </m:r>
        <m:r>
          <m:t>t</m:t>
        </m:r>
        <m:r>
          <m:t>e</m:t>
        </m:r>
        <m:r>
          <m:t>d</m:t>
        </m:r>
        <m:r>
          <m:t>n</m:t>
        </m:r>
        <m:r>
          <m:t>e</m:t>
        </m:r>
        <m:r>
          <m:t>t</m:t>
        </m:r>
        <m:r>
          <m:t>g</m:t>
        </m:r>
        <m:r>
          <m:t>r</m:t>
        </m:r>
        <m:r>
          <m:t>o</m:t>
        </m:r>
        <m:r>
          <m:t>s</m:t>
        </m:r>
        <m:r>
          <m:t>s</m:t>
        </m:r>
        <m:r>
          <m:rPr>
            <m:sty m:val="p"/>
          </m:rPr>
          <m:t>−</m:t>
        </m:r>
        <m:r>
          <m:t>m</m:t>
        </m:r>
        <m:r>
          <m:t>a</m:t>
        </m:r>
        <m:r>
          <m:t>r</m:t>
        </m:r>
        <m:r>
          <m:t>g</m:t>
        </m:r>
        <m:r>
          <m:t>i</m:t>
        </m:r>
        <m:r>
          <m:t>n</m:t>
        </m:r>
        <m:r>
          <m:t>i</m:t>
        </m:r>
        <m:r>
          <m:t>m</m:t>
        </m:r>
        <m:r>
          <m:t>p</m:t>
        </m:r>
        <m:r>
          <m:t>a</m:t>
        </m:r>
        <m:r>
          <m:t>c</m:t>
        </m:r>
        <m:r>
          <m:t>t</m:t>
        </m:r>
        <m:r>
          <m:t>o</m:t>
        </m:r>
        <m:r>
          <m:t>f</m:t>
        </m:r>
        <m:r>
          <m:t>r</m:t>
        </m:r>
        <m:r>
          <m:t>o</m:t>
        </m:r>
        <m:r>
          <m:t>u</m:t>
        </m:r>
        <m:r>
          <m:t>g</m:t>
        </m:r>
        <m:r>
          <m:t>h</m:t>
        </m:r>
        <m:r>
          <m:t>l</m:t>
        </m:r>
        <m:r>
          <m:t>y</m:t>
        </m:r>
        <m:r>
          <m:rPr>
            <m:sty m:val="p"/>
          </m:rPr>
          <m:t>*</m:t>
        </m:r>
        <m:r>
          <m:rPr>
            <m:sty m:val="p"/>
          </m:rPr>
          <m:t>*</m:t>
        </m:r>
      </m:oMath>
      <w:r>
        <w:rPr>
          <w:b/>
          <w:bCs/>
        </w:rPr>
        <w:t xml:space="preserve">6 million</w:t>
      </w:r>
      <w:r>
        <w:t xml:space="preserve"> </w:t>
      </w:r>
      <w:r>
        <w:t xml:space="preserve">after mitigation actions. (</w:t>
      </w:r>
      <w:hyperlink r:id="rId17">
        <w:r>
          <w:rPr>
            <w:rStyle w:val="Hyperlink"/>
          </w:rPr>
          <w:t xml:space="preserve">sec.gov</w:t>
        </w:r>
      </w:hyperlink>
      <w:r>
        <w:t xml:space="preserve">)</w:t>
      </w:r>
    </w:p>
    <w:p>
      <w:pPr>
        <w:pStyle w:val="BodyText"/>
      </w:pPr>
      <w:r>
        <w:t xml:space="preserve">Management’s margin plan relies on cost actions—including workforce reductions, facility consolidation, sourcing, and operational initiatives—that are intended to be completed around midyear. Q1 restructuring actions affected roughly</w:t>
      </w:r>
      <w:r>
        <w:t xml:space="preserve"> </w:t>
      </w:r>
      <w:r>
        <w:rPr>
          <w:b/>
          <w:bCs/>
        </w:rPr>
        <w:t xml:space="preserve">2% of the workforce</w:t>
      </w:r>
      <w:r>
        <w:t xml:space="preserve">, indicating that the program is already underway. (</w:t>
      </w:r>
      <w:hyperlink r:id="rId17">
        <w:r>
          <w:rPr>
            <w:rStyle w:val="Hyperlink"/>
          </w:rPr>
          <w:t xml:space="preserve">sec.gov</w:t>
        </w:r>
      </w:hyperlink>
      <w:r>
        <w:t xml:space="preserve">)</w:t>
      </w:r>
    </w:p>
    <w:p>
      <w:pPr>
        <w:pStyle w:val="BodyText"/>
      </w:pPr>
      <w:r>
        <w:t xml:space="preserve">Capital allocation is also constructive:</w:t>
      </w:r>
    </w:p>
    <w:p>
      <w:pPr>
        <w:pStyle w:val="Compact"/>
        <w:numPr>
          <w:ilvl w:val="0"/>
          <w:numId w:val="1006"/>
        </w:numPr>
      </w:pPr>
      <w:r>
        <w:t xml:space="preserve">Revvity had</w:t>
      </w:r>
      <w:r>
        <w:t xml:space="preserve"> </w:t>
      </w:r>
      <w:r>
        <w:rPr>
          <w:b/>
          <w:bCs/>
        </w:rPr>
        <w:t xml:space="preserve">$800.5 million</w:t>
      </w:r>
      <w:r>
        <w:t xml:space="preserve"> </w:t>
      </w:r>
      <w:r>
        <w:t xml:space="preserve">remaining under its repurchase authorization as of April 5, after repurchasing $79 million of stock in Q1; it also repurchased another $7.8 million subsequently. (</w:t>
      </w:r>
      <w:hyperlink r:id="rId17">
        <w:r>
          <w:rPr>
            <w:rStyle w:val="Hyperlink"/>
          </w:rPr>
          <w:t xml:space="preserve">sec.gov</w:t>
        </w:r>
      </w:hyperlink>
      <w:r>
        <w:t xml:space="preserve">)</w:t>
      </w:r>
    </w:p>
    <w:p>
      <w:pPr>
        <w:pStyle w:val="Compact"/>
        <w:numPr>
          <w:ilvl w:val="0"/>
          <w:numId w:val="1006"/>
        </w:numPr>
      </w:pPr>
      <w:r>
        <w:t xml:space="preserve">The company intended to repay its roughly €500 million notes maturing in July 2026 with cash and/or revolver capacity. Confirmation that this refinancing/repayment occurred cleanly is a modest but relevant balance-sheet check. (</w:t>
      </w:r>
      <w:hyperlink r:id="rId17">
        <w:r>
          <w:rPr>
            <w:rStyle w:val="Hyperlink"/>
          </w:rPr>
          <w:t xml:space="preserve">sec.gov</w:t>
        </w:r>
      </w:hyperlink>
      <w:r>
        <w:t xml:space="preserve">)</w:t>
      </w:r>
    </w:p>
    <w:bookmarkEnd w:id="18"/>
    <w:bookmarkStart w:id="19" w:name="valuation-and-positioning"/>
    <w:p>
      <w:pPr>
        <w:pStyle w:val="Heading2"/>
      </w:pPr>
      <w:r>
        <w:t xml:space="preserve">Valuation and positioning</w:t>
      </w:r>
    </w:p>
    <w:p>
      <w:pPr>
        <w:pStyle w:val="FirstParagraph"/>
      </w:pPr>
      <w:r>
        <w:t xml:space="preserve">RVTY closed at</w:t>
      </w:r>
      <w:r>
        <w:t xml:space="preserve"> </w:t>
      </w:r>
      <w:r>
        <w:rPr>
          <w:b/>
          <w:bCs/>
        </w:rPr>
        <w:t xml:space="preserve">$115.25 on August 3</w:t>
      </w:r>
      <w:r>
        <w:t xml:space="preserve">, up about</w:t>
      </w:r>
      <w:r>
        <w:t xml:space="preserve"> </w:t>
      </w:r>
      <w:r>
        <w:rPr>
          <w:b/>
          <w:bCs/>
        </w:rPr>
        <w:t xml:space="preserve">19% year to date</w:t>
      </w:r>
      <w:r>
        <w:t xml:space="preserve"> </w:t>
      </w:r>
      <w:r>
        <w:t xml:space="preserve">from the December 31, 2025 close. At that price and the midpoint of management’s</w:t>
      </w:r>
      <w:r>
        <w:t xml:space="preserve"> </w:t>
      </w:r>
      <m:oMath>
        <m:r>
          <m:t>5.20</m:t>
        </m:r>
        <m:r>
          <m:rPr>
            <m:sty m:val="p"/>
          </m:rPr>
          <m:t>–</m:t>
        </m:r>
      </m:oMath>
      <w:r>
        <w:t xml:space="preserve">5.30 adjusted-EPS outlook, the shares trade at roughly</w:t>
      </w:r>
      <w:r>
        <w:t xml:space="preserve"> </w:t>
      </w:r>
      <w:r>
        <w:rPr>
          <w:b/>
          <w:bCs/>
        </w:rPr>
        <w:t xml:space="preserve">22x</w:t>
      </w:r>
      <w:r>
        <w:t xml:space="preserve"> </w:t>
      </w:r>
      <w:r>
        <w:t xml:space="preserve">2026 guided adjusted EPS.</w:t>
      </w:r>
    </w:p>
    <w:p>
      <w:pPr>
        <w:pStyle w:val="BodyText"/>
      </w:pPr>
      <w:r>
        <w:t xml:space="preserve">That means the market appears to be giving Revvity partial credit for a cleaner portfolio, eventual margin expansion, and a recovery in core end markets. It likely still needs proof—not just promise—on organic-growth durability and 2H operating leverage.</w:t>
      </w:r>
    </w:p>
    <w:bookmarkEnd w:id="19"/>
    <w:bookmarkStart w:id="22" w:name="Xf1b2a15d0fa9307ef9ee38a539bc5132a48c039"/>
    <w:p>
      <w:pPr>
        <w:pStyle w:val="Heading2"/>
      </w:pPr>
      <w:r>
        <w:t xml:space="preserve">What would make the report bullish or bearish?</w:t>
      </w:r>
    </w:p>
    <w:bookmarkStart w:id="20" w:name="bullish-read-through"/>
    <w:p>
      <w:pPr>
        <w:pStyle w:val="Heading3"/>
      </w:pPr>
      <w:r>
        <w:t xml:space="preserve">Bullish read-through</w:t>
      </w:r>
    </w:p>
    <w:p>
      <w:pPr>
        <w:pStyle w:val="Compact"/>
        <w:numPr>
          <w:ilvl w:val="0"/>
          <w:numId w:val="1007"/>
        </w:numPr>
      </w:pPr>
      <w:r>
        <w:t xml:space="preserve">Organic growth</w:t>
      </w:r>
      <w:r>
        <w:t xml:space="preserve"> </w:t>
      </w:r>
      <w:r>
        <w:rPr>
          <w:b/>
          <w:bCs/>
        </w:rPr>
        <w:t xml:space="preserve">above 3%</w:t>
      </w:r>
      <w:r>
        <w:t xml:space="preserve"> </w:t>
      </w:r>
      <w:r>
        <w:t xml:space="preserve">pro forma.</w:t>
      </w:r>
    </w:p>
    <w:p>
      <w:pPr>
        <w:pStyle w:val="Compact"/>
        <w:numPr>
          <w:ilvl w:val="0"/>
          <w:numId w:val="1007"/>
        </w:numPr>
      </w:pPr>
      <w:r>
        <w:t xml:space="preserve">Better-than-expected Life Sciences growth, particularly in reagents and broad-based instruments.</w:t>
      </w:r>
    </w:p>
    <w:p>
      <w:pPr>
        <w:pStyle w:val="Compact"/>
        <w:numPr>
          <w:ilvl w:val="0"/>
          <w:numId w:val="1007"/>
        </w:numPr>
      </w:pPr>
      <w:r>
        <w:t xml:space="preserve">Diagnostics staying at mid/high-single-digit growth without a one-time driver.</w:t>
      </w:r>
    </w:p>
    <w:p>
      <w:pPr>
        <w:pStyle w:val="Compact"/>
        <w:numPr>
          <w:ilvl w:val="0"/>
          <w:numId w:val="1007"/>
        </w:numPr>
      </w:pPr>
      <w:r>
        <w:t xml:space="preserve">Q2 margin at or above 27%, plus a more confident Q3/Q4 margin outlook.</w:t>
      </w:r>
    </w:p>
    <w:p>
      <w:pPr>
        <w:pStyle w:val="Compact"/>
        <w:numPr>
          <w:ilvl w:val="0"/>
          <w:numId w:val="1007"/>
        </w:numPr>
      </w:pPr>
      <w:r>
        <w:t xml:space="preserve">Full-year organic-growth or EPS guidance raised.</w:t>
      </w:r>
    </w:p>
    <w:p>
      <w:pPr>
        <w:pStyle w:val="Compact"/>
        <w:numPr>
          <w:ilvl w:val="0"/>
          <w:numId w:val="1007"/>
        </w:numPr>
      </w:pPr>
      <w:r>
        <w:t xml:space="preserve">Definitive China immunodiagnostics agreement completed on the expected timetable.</w:t>
      </w:r>
    </w:p>
    <w:bookmarkEnd w:id="20"/>
    <w:bookmarkStart w:id="21" w:name="bearish-read-through"/>
    <w:p>
      <w:pPr>
        <w:pStyle w:val="Heading3"/>
      </w:pPr>
      <w:r>
        <w:t xml:space="preserve">Bearish read-through</w:t>
      </w:r>
    </w:p>
    <w:p>
      <w:pPr>
        <w:pStyle w:val="Compact"/>
        <w:numPr>
          <w:ilvl w:val="0"/>
          <w:numId w:val="1008"/>
        </w:numPr>
      </w:pPr>
      <w:r>
        <w:t xml:space="preserve">Organic growth below 2%, especially if Life Sciences returns to decline.</w:t>
      </w:r>
    </w:p>
    <w:p>
      <w:pPr>
        <w:pStyle w:val="Compact"/>
        <w:numPr>
          <w:ilvl w:val="0"/>
          <w:numId w:val="1008"/>
        </w:numPr>
      </w:pPr>
      <w:r>
        <w:t xml:space="preserve">A software miss accompanied by weak bookings/ARR commentary rather than merely timing.</w:t>
      </w:r>
    </w:p>
    <w:p>
      <w:pPr>
        <w:pStyle w:val="Compact"/>
        <w:numPr>
          <w:ilvl w:val="0"/>
          <w:numId w:val="1008"/>
        </w:numPr>
      </w:pPr>
      <w:r>
        <w:t xml:space="preserve">Reproductive-health deceleration without offsetting strength elsewhere.</w:t>
      </w:r>
    </w:p>
    <w:p>
      <w:pPr>
        <w:pStyle w:val="Compact"/>
        <w:numPr>
          <w:ilvl w:val="0"/>
          <w:numId w:val="1008"/>
        </w:numPr>
      </w:pPr>
      <w:r>
        <w:t xml:space="preserve">Tariff, mix, or cost pressures preventing expected margin progression.</w:t>
      </w:r>
    </w:p>
    <w:p>
      <w:pPr>
        <w:pStyle w:val="Compact"/>
        <w:numPr>
          <w:ilvl w:val="0"/>
          <w:numId w:val="1008"/>
        </w:numPr>
      </w:pPr>
      <w:r>
        <w:t xml:space="preserve">Any softening of the 3%–4% full-year organic-growth guide.</w:t>
      </w:r>
    </w:p>
    <w:p>
      <w:pPr>
        <w:pStyle w:val="Compact"/>
        <w:numPr>
          <w:ilvl w:val="0"/>
          <w:numId w:val="1008"/>
        </w:numPr>
      </w:pPr>
      <w:r>
        <w:t xml:space="preserve">Slippage or uncertainty around the China divestiture.</w:t>
      </w:r>
    </w:p>
    <w:bookmarkEnd w:id="21"/>
    <w:bookmarkEnd w:id="22"/>
    <w:bookmarkStart w:id="23" w:name="questions-for-management"/>
    <w:p>
      <w:pPr>
        <w:pStyle w:val="Heading2"/>
      </w:pPr>
      <w:r>
        <w:t xml:space="preserve">Questions for management</w:t>
      </w:r>
    </w:p>
    <w:p>
      <w:pPr>
        <w:pStyle w:val="Compact"/>
        <w:numPr>
          <w:ilvl w:val="0"/>
          <w:numId w:val="1009"/>
        </w:numPr>
      </w:pPr>
      <w:r>
        <w:t xml:space="preserve">How much of Q2 Life Sciences growth reflects genuine demand improvement versus timing, FX, or easier comparisons?</w:t>
      </w:r>
    </w:p>
    <w:p>
      <w:pPr>
        <w:pStyle w:val="Compact"/>
        <w:numPr>
          <w:ilvl w:val="0"/>
          <w:numId w:val="1009"/>
        </w:numPr>
      </w:pPr>
      <w:r>
        <w:t xml:space="preserve">Are pharma/biotech order patterns improving in reagents as well as instruments?</w:t>
      </w:r>
    </w:p>
    <w:p>
      <w:pPr>
        <w:pStyle w:val="Compact"/>
        <w:numPr>
          <w:ilvl w:val="0"/>
          <w:numId w:val="1009"/>
        </w:numPr>
      </w:pPr>
      <w:r>
        <w:t xml:space="preserve">Does Q2 support maintaining the assumption that instrument and reagent growth slows later in 2026?</w:t>
      </w:r>
    </w:p>
    <w:p>
      <w:pPr>
        <w:pStyle w:val="Compact"/>
        <w:numPr>
          <w:ilvl w:val="0"/>
          <w:numId w:val="1009"/>
        </w:numPr>
      </w:pPr>
      <w:r>
        <w:t xml:space="preserve">How did software bookings, SaaS ARR, and annualized portfolio value trend despite the expected difficult revenue comparison?</w:t>
      </w:r>
    </w:p>
    <w:p>
      <w:pPr>
        <w:pStyle w:val="Compact"/>
        <w:numPr>
          <w:ilvl w:val="0"/>
          <w:numId w:val="1009"/>
        </w:numPr>
      </w:pPr>
      <w:r>
        <w:t xml:space="preserve">Is Genomics England still contributing ahead of plan, and how should investors model its cadence through year-end?</w:t>
      </w:r>
    </w:p>
    <w:p>
      <w:pPr>
        <w:pStyle w:val="Compact"/>
        <w:numPr>
          <w:ilvl w:val="0"/>
          <w:numId w:val="1009"/>
        </w:numPr>
      </w:pPr>
      <w:r>
        <w:t xml:space="preserve">What is the realized tariff impact in Q2, and have mitigation actions offset more of the pressure?</w:t>
      </w:r>
    </w:p>
    <w:p>
      <w:pPr>
        <w:pStyle w:val="Compact"/>
        <w:numPr>
          <w:ilvl w:val="0"/>
          <w:numId w:val="1009"/>
        </w:numPr>
      </w:pPr>
      <w:r>
        <w:t xml:space="preserve">Were the China immunodiagnostics definitive agreements signed during Q2, and are closing expectations unchanged?</w:t>
      </w:r>
    </w:p>
    <w:p>
      <w:pPr>
        <w:pStyle w:val="Compact"/>
        <w:numPr>
          <w:ilvl w:val="0"/>
          <w:numId w:val="1009"/>
        </w:numPr>
      </w:pPr>
      <w:r>
        <w:t xml:space="preserve">How much of the planned 2H margin expansion is already locked in through executed cost actions?</w:t>
      </w:r>
    </w:p>
    <w:bookmarkEnd w:id="23"/>
    <w:bookmarkStart w:id="24" w:name="investment-takeaway"/>
    <w:p>
      <w:pPr>
        <w:pStyle w:val="Heading2"/>
      </w:pPr>
      <w:r>
        <w:t xml:space="preserve">Investment takeaway</w:t>
      </w:r>
    </w:p>
    <w:p>
      <w:pPr>
        <w:pStyle w:val="FirstParagraph"/>
      </w:pPr>
      <w:r>
        <w:rPr>
          <w:b/>
          <w:bCs/>
        </w:rPr>
        <w:t xml:space="preserve">RVTY’s Q2 report is a validation quarter.</w:t>
      </w:r>
      <w:r>
        <w:t xml:space="preserve"> </w:t>
      </w:r>
      <w:r>
        <w:t xml:space="preserve">The company does not need a dramatic headline beat to support the thesis; it needs to demonstrate that Q1’s improving core trends were repeatable, that Diagnostics remains a dependable growth engine, and that margins are set to inflect as cost initiatives land.</w:t>
      </w:r>
    </w:p>
    <w:p>
      <w:pPr>
        <w:pStyle w:val="BodyText"/>
      </w:pPr>
      <w:r>
        <w:t xml:space="preserve">A result around the company’s Q2 framework with firm full-year guidance would keep the recovery narrative intact. A beat driven by Life Sciences demand and accompanied by a stronger second-half outlook could be more meaningful, because it would begin to validate the longer-term case for higher growth and better incremental margins.</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r.revvity.com/events-and-presentations/events/event-details/2026/Q2-2026-Revvity-Earnings-Conference-Call/default.aspx?utm_source=openai" TargetMode="External" /><Relationship Type="http://schemas.openxmlformats.org/officeDocument/2006/relationships/hyperlink" Id="rId12" Target="https://ir.revvity.com/news/investor-news/news-details/2026/Revvity-Announces-Financial-Results-for-the-First-Quarter-of-2026/default.aspx" TargetMode="External" /><Relationship Type="http://schemas.openxmlformats.org/officeDocument/2006/relationships/hyperlink" Id="rId17" Target="https://www.sec.gov/Archives/edgar/data/31791/000003179126000019/revv-20260405.htm" TargetMode="External" /></Relationships>
</file>

<file path=word/_rels/footnotes.xml.rels><?xml version="1.0" encoding="UTF-8"?><Relationships xmlns="http://schemas.openxmlformats.org/package/2006/relationships"><Relationship Type="http://schemas.openxmlformats.org/officeDocument/2006/relationships/hyperlink" Id="rId9" Target="https://ir.revvity.com/events-and-presentations/events/event-details/2026/Q2-2026-Revvity-Earnings-Conference-Call/default.aspx?utm_source=openai" TargetMode="External" /><Relationship Type="http://schemas.openxmlformats.org/officeDocument/2006/relationships/hyperlink" Id="rId12" Target="https://ir.revvity.com/news/investor-news/news-details/2026/Revvity-Announces-Financial-Results-for-the-First-Quarter-of-2026/default.aspx" TargetMode="External" /><Relationship Type="http://schemas.openxmlformats.org/officeDocument/2006/relationships/hyperlink" Id="rId17" Target="https://www.sec.gov/Archives/edgar/data/31791/000003179126000019/revv-20260405.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2026-08-04T00:02:55Z</dcterms:created>
  <dcterms:modified xsi:type="dcterms:W3CDTF">2026-08-04T00:02:55Z</dcterms:modified>
</cp:coreProperties>
</file>

<file path=docProps/custom.xml><?xml version="1.0" encoding="utf-8"?>
<Properties xmlns="http://schemas.openxmlformats.org/officeDocument/2006/custom-properties" xmlns:vt="http://schemas.openxmlformats.org/officeDocument/2006/docPropsVTypes"/>
</file>