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sndk-earnings-predictions--2026-08-05"/>
    <w:p>
      <w:pPr>
        <w:pStyle w:val="Heading1"/>
      </w:pPr>
      <w:r>
        <w:t xml:space="preserve">SNDK Earnings Predictions — 2026-08-05</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SNDK</w:t>
            </w:r>
          </w:p>
        </w:tc>
        <w:tc>
          <w:tcPr/>
          <w:p>
            <w:pPr>
              <w:pStyle w:val="Compact"/>
            </w:pPr>
            <w:r>
              <w:t xml:space="preserve">Report</w:t>
            </w:r>
          </w:p>
        </w:tc>
        <w:tc>
          <w:tcPr/>
          <w:p>
            <w:pPr>
              <w:pStyle w:val="Compact"/>
            </w:pPr>
            <w:r>
              <w:t xml:space="preserve">Revenue (Fiscal Q4 2026)</w:t>
            </w:r>
          </w:p>
        </w:tc>
        <w:tc>
          <w:tcPr/>
          <w:p>
            <w:pPr>
              <w:pStyle w:val="Compact"/>
            </w:pPr>
            <w:r>
              <w:t xml:space="preserve">BEAT</w:t>
            </w:r>
          </w:p>
        </w:tc>
        <w:tc>
          <w:tcPr/>
          <w:p>
            <w:pPr>
              <w:pStyle w:val="Compact"/>
            </w:pPr>
            <w:r>
              <w:t xml:space="preserve">pred ~</w:t>
            </w:r>
            <m:oMath>
              <m:r>
                <m:t>8.6</m:t>
              </m:r>
              <m:r>
                <m:t>B</m:t>
              </m:r>
              <m:r>
                <m:t>v</m:t>
              </m:r>
              <m:r>
                <m:t>s</m:t>
              </m:r>
              <m:r>
                <m:rPr>
                  <m:sty m:val="p"/>
                </m:rPr>
                <m:t>.</m:t>
              </m:r>
              <m:r>
                <m:t>c</m:t>
              </m:r>
              <m:r>
                <m:t>o</m:t>
              </m:r>
              <m:r>
                <m:t>n</m:t>
              </m:r>
              <m:r>
                <m:t>s</m:t>
              </m:r>
              <m:r>
                <m:t> </m:t>
              </m:r>
            </m:oMath>
            <w:r>
              <w:t xml:space="preserve">8.35B</w:t>
            </w:r>
          </w:p>
        </w:tc>
        <w:tc>
          <w:tcPr/>
          <w:p>
            <w:pPr>
              <w:pStyle w:val="Compact"/>
            </w:pPr>
            <w:r>
              <w:t xml:space="preserve">MEDIUM</w:t>
            </w:r>
          </w:p>
        </w:tc>
      </w:tr>
      <w:tr>
        <w:tc>
          <w:tcPr/>
          <w:p>
            <w:pPr>
              <w:pStyle w:val="Compact"/>
            </w:pPr>
            <w:r>
              <w:t xml:space="preserve">SNDK</w:t>
            </w:r>
          </w:p>
        </w:tc>
        <w:tc>
          <w:tcPr/>
          <w:p>
            <w:pPr>
              <w:pStyle w:val="Compact"/>
            </w:pPr>
            <w:r>
              <w:t xml:space="preserve">Report</w:t>
            </w:r>
          </w:p>
        </w:tc>
        <w:tc>
          <w:tcPr/>
          <w:p>
            <w:pPr>
              <w:pStyle w:val="Compact"/>
            </w:pPr>
            <w:r>
              <w:t xml:space="preserve">Non-GAAP EPS (Fiscal Q4 2026)</w:t>
            </w:r>
          </w:p>
        </w:tc>
        <w:tc>
          <w:tcPr/>
          <w:p>
            <w:pPr>
              <w:pStyle w:val="Compact"/>
            </w:pPr>
            <w:r>
              <w:t xml:space="preserve">BEAT</w:t>
            </w:r>
          </w:p>
        </w:tc>
        <w:tc>
          <w:tcPr/>
          <w:p>
            <w:pPr>
              <w:pStyle w:val="Compact"/>
            </w:pPr>
            <w:r>
              <w:t xml:space="preserve">pred ~</w:t>
            </w:r>
            <m:oMath>
              <m:r>
                <m:t>36.00</m:t>
              </m:r>
              <m:r>
                <m:t>v</m:t>
              </m:r>
              <m:r>
                <m:t>s</m:t>
              </m:r>
              <m:r>
                <m:rPr>
                  <m:sty m:val="p"/>
                </m:rPr>
                <m:t>.</m:t>
              </m:r>
              <m:r>
                <m:t>c</m:t>
              </m:r>
              <m:r>
                <m:t>o</m:t>
              </m:r>
              <m:r>
                <m:t>n</m:t>
              </m:r>
              <m:r>
                <m:t>s</m:t>
              </m:r>
              <m:r>
                <m:t> </m:t>
              </m:r>
            </m:oMath>
            <w:r>
              <w:t xml:space="preserve">34.24</w:t>
            </w:r>
          </w:p>
        </w:tc>
        <w:tc>
          <w:tcPr/>
          <w:p>
            <w:pPr>
              <w:pStyle w:val="Compact"/>
            </w:pPr>
            <w:r>
              <w:t xml:space="preserve">MEDIUM</w:t>
            </w:r>
          </w:p>
        </w:tc>
      </w:tr>
      <w:tr>
        <w:tc>
          <w:tcPr/>
          <w:p>
            <w:pPr>
              <w:pStyle w:val="Compact"/>
            </w:pPr>
            <w:r>
              <w:t xml:space="preserve">SNDK</w:t>
            </w:r>
          </w:p>
        </w:tc>
        <w:tc>
          <w:tcPr/>
          <w:p>
            <w:pPr>
              <w:pStyle w:val="Compact"/>
            </w:pPr>
            <w:r>
              <w:t xml:space="preserve">Report</w:t>
            </w:r>
          </w:p>
        </w:tc>
        <w:tc>
          <w:tcPr/>
          <w:p>
            <w:pPr>
              <w:pStyle w:val="Compact"/>
            </w:pPr>
            <w:r>
              <w:t xml:space="preserve">Non-GAAP Gross Margin (Fiscal Q4 2026)</w:t>
            </w:r>
          </w:p>
        </w:tc>
        <w:tc>
          <w:tcPr/>
          <w:p>
            <w:pPr>
              <w:pStyle w:val="Compact"/>
            </w:pPr>
            <w:r>
              <w:t xml:space="preserve">BEAT</w:t>
            </w:r>
          </w:p>
        </w:tc>
        <w:tc>
          <w:tcPr/>
          <w:p>
            <w:pPr>
              <w:pStyle w:val="Compact"/>
            </w:pPr>
            <w:r>
              <w:t xml:space="preserve">pred ~82% vs. cons ~80%</w:t>
            </w:r>
          </w:p>
        </w:tc>
        <w:tc>
          <w:tcPr/>
          <w:p>
            <w:pPr>
              <w:pStyle w:val="Compact"/>
            </w:pPr>
            <w:r>
              <w:t xml:space="preserve">MEDIUM</w:t>
            </w:r>
          </w:p>
        </w:tc>
      </w:tr>
      <w:tr>
        <w:tc>
          <w:tcPr/>
          <w:p>
            <w:pPr>
              <w:pStyle w:val="Compact"/>
            </w:pPr>
            <w:r>
              <w:t xml:space="preserve">SNDK</w:t>
            </w:r>
          </w:p>
        </w:tc>
        <w:tc>
          <w:tcPr/>
          <w:p>
            <w:pPr>
              <w:pStyle w:val="Compact"/>
            </w:pPr>
            <w:r>
              <w:t xml:space="preserve">Guide</w:t>
            </w:r>
          </w:p>
        </w:tc>
        <w:tc>
          <w:tcPr/>
          <w:p>
            <w:pPr>
              <w:pStyle w:val="Compact"/>
            </w:pPr>
            <w:r>
              <w:t xml:space="preserve">Revenue guide</w:t>
            </w:r>
          </w:p>
        </w:tc>
        <w:tc>
          <w:tcPr/>
          <w:p>
            <w:pPr>
              <w:pStyle w:val="Compact"/>
            </w:pPr>
            <w:r>
              <w:t xml:space="preserve">BETTER</w:t>
            </w:r>
          </w:p>
        </w:tc>
        <w:tc>
          <w:tcPr/>
          <w:p>
            <w:pPr>
              <w:pStyle w:val="Compact"/>
            </w:pPr>
            <w:r>
              <w:t xml:space="preserve">guide ~</w:t>
            </w:r>
            <m:oMath>
              <m:r>
                <m:t>8.8</m:t>
              </m:r>
              <m:r>
                <m:t>B</m:t>
              </m:r>
              <m:r>
                <m:t>v</m:t>
              </m:r>
              <m:r>
                <m:t>s</m:t>
              </m:r>
              <m:r>
                <m:rPr>
                  <m:sty m:val="p"/>
                </m:rPr>
                <m:t>.</m:t>
              </m:r>
              <m:r>
                <m:t>c</m:t>
              </m:r>
              <m:r>
                <m:t>o</m:t>
              </m:r>
              <m:r>
                <m:t>n</m:t>
              </m:r>
              <m:r>
                <m:t>s</m:t>
              </m:r>
              <m:r>
                <m:t> </m:t>
              </m:r>
            </m:oMath>
            <w:r>
              <w:t xml:space="preserve">8.6B (Fiscal Q1 2027)</w:t>
            </w:r>
          </w:p>
        </w:tc>
        <w:tc>
          <w:tcPr/>
          <w:p>
            <w:pPr>
              <w:pStyle w:val="Compact"/>
            </w:pPr>
            <w:r>
              <w:t xml:space="preserve">MEDIUM</w:t>
            </w:r>
          </w:p>
        </w:tc>
      </w:tr>
      <w:tr>
        <w:tc>
          <w:tcPr/>
          <w:p>
            <w:pPr>
              <w:pStyle w:val="Compact"/>
            </w:pPr>
            <w:r>
              <w:t xml:space="preserve">SNDK</w:t>
            </w:r>
          </w:p>
        </w:tc>
        <w:tc>
          <w:tcPr/>
          <w:p>
            <w:pPr>
              <w:pStyle w:val="Compact"/>
            </w:pPr>
            <w:r>
              <w:t xml:space="preserve">Guide</w:t>
            </w:r>
          </w:p>
        </w:tc>
        <w:tc>
          <w:tcPr/>
          <w:p>
            <w:pPr>
              <w:pStyle w:val="Compact"/>
            </w:pPr>
            <w:r>
              <w:t xml:space="preserve">Non-GAAP EPS guide</w:t>
            </w:r>
          </w:p>
        </w:tc>
        <w:tc>
          <w:tcPr/>
          <w:p>
            <w:pPr>
              <w:pStyle w:val="Compact"/>
            </w:pPr>
            <w:r>
              <w:t xml:space="preserve">BETTER</w:t>
            </w:r>
          </w:p>
        </w:tc>
        <w:tc>
          <w:tcPr/>
          <w:p>
            <w:pPr>
              <w:pStyle w:val="Compact"/>
            </w:pPr>
            <w:r>
              <w:t xml:space="preserve">guide ~</w:t>
            </w:r>
            <m:oMath>
              <m:r>
                <m:t>37.00</m:t>
              </m:r>
              <m:r>
                <m:t>v</m:t>
              </m:r>
              <m:r>
                <m:t>s</m:t>
              </m:r>
              <m:r>
                <m:rPr>
                  <m:sty m:val="p"/>
                </m:rPr>
                <m:t>.</m:t>
              </m:r>
              <m:r>
                <m:t>c</m:t>
              </m:r>
              <m:r>
                <m:t>o</m:t>
              </m:r>
              <m:r>
                <m:t>n</m:t>
              </m:r>
              <m:r>
                <m:t>s</m:t>
              </m:r>
              <m:r>
                <m:t> </m:t>
              </m:r>
            </m:oMath>
            <w:r>
              <w:t xml:space="preserve">35.00 (Fiscal Q1 2027)</w:t>
            </w:r>
          </w:p>
        </w:tc>
        <w:tc>
          <w:tcPr/>
          <w:p>
            <w:pPr>
              <w:pStyle w:val="Compact"/>
            </w:pPr>
            <w:r>
              <w:t xml:space="preserve">MEDIUM</w:t>
            </w:r>
          </w:p>
        </w:tc>
      </w:tr>
      <w:tr>
        <w:tc>
          <w:tcPr/>
          <w:p>
            <w:pPr>
              <w:pStyle w:val="Compact"/>
            </w:pPr>
            <w:r>
              <w:t xml:space="preserve">SNDK</w:t>
            </w:r>
          </w:p>
        </w:tc>
        <w:tc>
          <w:tcPr/>
          <w:p>
            <w:pPr>
              <w:pStyle w:val="Compact"/>
            </w:pPr>
            <w:r>
              <w:t xml:space="preserve">Guide</w:t>
            </w:r>
          </w:p>
        </w:tc>
        <w:tc>
          <w:tcPr/>
          <w:p>
            <w:pPr>
              <w:pStyle w:val="Compact"/>
            </w:pPr>
            <w:r>
              <w:t xml:space="preserve">NBM contracted FY27 bit-volume share</w:t>
            </w:r>
          </w:p>
        </w:tc>
        <w:tc>
          <w:tcPr/>
          <w:p>
            <w:pPr>
              <w:pStyle w:val="Compact"/>
            </w:pPr>
            <w:r>
              <w:t xml:space="preserve">BETTER</w:t>
            </w:r>
          </w:p>
        </w:tc>
        <w:tc>
          <w:tcPr/>
          <w:p>
            <w:pPr>
              <w:pStyle w:val="Compact"/>
            </w:pPr>
            <w:r>
              <w:t xml:space="preserve">guide/disclosed ~45% vs. prior disclosed/implied cons ~35% (Fiscal Year 2027)</w:t>
            </w:r>
          </w:p>
        </w:tc>
        <w:tc>
          <w:tcPr/>
          <w:p>
            <w:pPr>
              <w:pStyle w:val="Compact"/>
            </w:pPr>
            <w:r>
              <w:t xml:space="preserve">LOW</w:t>
            </w:r>
          </w:p>
        </w:tc>
      </w:tr>
      <w:tr>
        <w:tc>
          <w:tcPr/>
          <w:p>
            <w:pPr>
              <w:pStyle w:val="Compact"/>
            </w:pPr>
            <w:r>
              <w:t xml:space="preserve">SNDK</w:t>
            </w:r>
          </w:p>
        </w:tc>
        <w:tc>
          <w:tcPr/>
          <w:p>
            <w:pPr>
              <w:pStyle w:val="Compact"/>
            </w:pPr>
            <w:r>
              <w:t xml:space="preserve">Return</w:t>
            </w:r>
          </w:p>
        </w:tc>
        <w:tc>
          <w:tcPr/>
          <w:p>
            <w:pPr>
              <w:pStyle w:val="Compact"/>
            </w:pPr>
            <w:r>
              <w:t xml:space="preserve">Day-1 residual (stock − beta × S&amp;P 500)</w:t>
            </w:r>
          </w:p>
        </w:tc>
        <w:tc>
          <w:tcPr/>
          <w:p>
            <w:pPr>
              <w:pStyle w:val="Compact"/>
            </w:pPr>
            <w:r>
              <w:t xml:space="preserve">+12.0%</w:t>
            </w:r>
          </w:p>
        </w:tc>
        <w:tc>
          <w:tcPr/>
          <w:p>
            <w:pPr>
              <w:pStyle w:val="Compact"/>
            </w:pPr>
            <w:r>
              <w:t xml:space="preserve">—</w:t>
            </w:r>
          </w:p>
        </w:tc>
        <w:tc>
          <w:tcPr/>
          <w:p>
            <w:pPr>
              <w:pStyle w:val="Compact"/>
            </w:pPr>
            <w:r>
              <w:t xml:space="preserve">MEDIUM</w:t>
            </w:r>
          </w:p>
        </w:tc>
      </w:tr>
      <w:tr>
        <w:tc>
          <w:tcPr/>
          <w:p>
            <w:pPr>
              <w:pStyle w:val="Compact"/>
            </w:pPr>
            <w:r>
              <w:t xml:space="preserve">SNDK</w:t>
            </w:r>
          </w:p>
        </w:tc>
        <w:tc>
          <w:tcPr/>
          <w:p>
            <w:pPr>
              <w:pStyle w:val="Compact"/>
            </w:pPr>
            <w:r>
              <w:t xml:space="preserve">Return</w:t>
            </w:r>
          </w:p>
        </w:tc>
        <w:tc>
          <w:tcPr/>
          <w:p>
            <w:pPr>
              <w:pStyle w:val="Compact"/>
            </w:pPr>
            <w:r>
              <w:t xml:space="preserve">5-day cumulative residual</w:t>
            </w:r>
          </w:p>
        </w:tc>
        <w:tc>
          <w:tcPr/>
          <w:p>
            <w:pPr>
              <w:pStyle w:val="Compact"/>
            </w:pPr>
            <w:r>
              <w:t xml:space="preserve">+18.0% (FOLLOW-THROUGH)</w:t>
            </w:r>
          </w:p>
        </w:tc>
        <w:tc>
          <w:tcPr/>
          <w:p>
            <w:pPr>
              <w:pStyle w:val="Compact"/>
            </w:pPr>
            <w:r>
              <w:t xml:space="preserve">Backdrop into the print is unusually favorable: memory (NAND/DRAM) is now flagged across the industry (Micron DRAM share gains, SK Hynix capex hike, cross-sector commentary that supply is growing ~20%/yr vs ~200% demand growth from AI) as the binding constraint on AI compute, implying spot pricing kept accelerating through SanDisk's fiscal Q4 exactly as it did last quarter when guidance was blown away. Following the identical pattern from the April 30 FQ3 print (stock rallied ~8% on day 1 and continued to ~+28% cumulative by day 5 as NBM disclosures and margin trajectory got digested), a beat-and-raise here should see estimate revisions move up for FQ1 FY27 (out-period math working in the stock's favor rather than against it, since guidance itself has consistently undershot what actually gets delivered). The scheduled Investor Day on August 13 (5-6 trading days out) also gives a second nearby catalyst that keeps dip-buyers engaged rather than fading the initial pop, unless NAND ASP commentary disappoints or NBM bit-share progress stalls — the key risks that could instead trigger a fade.</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2026-08-05T00:59:16Z</dcterms:created>
  <dcterms:modified xsi:type="dcterms:W3CDTF">2026-08-05T00:59:16Z</dcterms:modified>
</cp:coreProperties>
</file>

<file path=docProps/custom.xml><?xml version="1.0" encoding="utf-8"?>
<Properties xmlns="http://schemas.openxmlformats.org/officeDocument/2006/custom-properties" xmlns:vt="http://schemas.openxmlformats.org/officeDocument/2006/docPropsVTypes"/>
</file>