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dfbfe59a9fc069fee862d2c73f6ac9c7ed353c4"/>
    <w:p>
      <w:pPr>
        <w:pStyle w:val="Heading1"/>
      </w:pPr>
      <w:r>
        <w:t xml:space="preserve">SanDisk (SNDK) — Fiscal Q4 2026 Earnings Preview</w:t>
      </w:r>
    </w:p>
    <w:p>
      <w:pPr>
        <w:pStyle w:val="FirstParagraph"/>
      </w:pPr>
      <w:r>
        <w:rPr>
          <w:b/>
          <w:bCs/>
        </w:rPr>
        <w:t xml:space="preserve">Report date:</w:t>
      </w:r>
      <w:r>
        <w:t xml:space="preserve"> </w:t>
      </w:r>
      <w:r>
        <w:t xml:space="preserve">August 5, 2026 (after market close) |</w:t>
      </w:r>
      <w:r>
        <w:t xml:space="preserve"> </w:t>
      </w:r>
      <w:r>
        <w:rPr>
          <w:b/>
          <w:bCs/>
        </w:rPr>
        <w:t xml:space="preserve">Event:</w:t>
      </w:r>
      <w:r>
        <w:t xml:space="preserve"> </w:t>
      </w:r>
      <w:r>
        <w:t xml:space="preserve">Fiscal Q4/Full-Year 2026 Earnings Call</w:t>
      </w:r>
    </w:p>
    <w:p>
      <w:r>
        <w:pict>
          <v:rect style="width:0;height:1.5pt" o:hralign="center" o:hrstd="t" o:hr="t"/>
        </w:pict>
      </w:r>
    </w:p>
    <w:bookmarkStart w:id="9" w:name="X0f5d67db23340a9f84a0ff23258a4bc4518f36e"/>
    <w:p>
      <w:pPr>
        <w:pStyle w:val="Heading2"/>
      </w:pPr>
      <w:r>
        <w:t xml:space="preserve">1. Setup: A Volatile Run-Up to the Print</w:t>
      </w:r>
    </w:p>
    <w:p>
      <w:pPr>
        <w:pStyle w:val="FirstParagraph"/>
      </w:pPr>
      <w:r>
        <w:t xml:space="preserve">Few large-cap names have had a wilder 2026 than SanDisk. After spinning off from Western Digital in February 2025 as a pure-play NAND flash company, SNDK shares went from roughly $275 in early January to an intraday all-time high of $2,354 on June 22 — a gain of nearly 9x — before crashing more than 55% into late July.</w:t>
      </w:r>
    </w:p>
    <w:p>
      <w:pPr>
        <w:pStyle w:val="BodyText"/>
      </w:pPr>
      <w:r>
        <w:t xml:space="preserve">From a closing high of $2,335.00 on June 25, the stock fell 56.49% to close at $1,015.89 on July 29, the S&amp;P 500's worst performer for the month, before closing up 25.99% at $1,279.96 on July 30. Shares have since stabilized in the</w:t>
      </w:r>
      <w:r>
        <w:t xml:space="preserve"> </w:t>
      </w:r>
      <m:oMath>
        <m:r>
          <m:t>1</m:t>
        </m:r>
        <m:r>
          <m:rPr>
            <m:sty m:val="p"/>
          </m:rPr>
          <m:t>,</m:t>
        </m:r>
        <m:r>
          <m:t>200</m:t>
        </m:r>
        <m:r>
          <m:rPr>
            <m:sty m:val="p"/>
          </m:rPr>
          <m:t>–</m:t>
        </m:r>
      </m:oMath>
      <w:r>
        <w:t xml:space="preserve">1,430 range heading into the print. Notably, much of the July collapse had little to do with SanDisk's fundamentals and a lot to do with a large leveraged fund unwinding a concentrated AI/memory position, compounded by a broader sector rout after SK Hynix's Q2 report showed a record 557% year-over-year profit jump but guided to lift 2026 capex by 50% to at least $31 billion, stoking fears the AI capex cycle is overheating. Competitive angst around Chinese NAND/DRAM entrants also weighed on sentiment, as competition concerns grew as China's CXMT moved to list and local lithography advanced.</w:t>
      </w:r>
    </w:p>
    <w:p>
      <w:pPr>
        <w:pStyle w:val="BodyText"/>
      </w:pPr>
      <w:r>
        <w:t xml:space="preserve">Options markets are pricing an unusually large move around tomorrow's print — roughly a 25% move in either direction — underscoring how binary sentiment has become around this name.</w:t>
      </w:r>
    </w:p>
    <w:p>
      <w:r>
        <w:pict>
          <v:rect style="width:0;height:1.5pt" o:hralign="center" o:hrstd="t" o:hr="t"/>
        </w:pict>
      </w:r>
    </w:p>
    <w:bookmarkEnd w:id="9"/>
    <w:bookmarkStart w:id="10" w:name="Xb8acb654a7fdd863a98f1fcb519072128c9a522"/>
    <w:p>
      <w:pPr>
        <w:pStyle w:val="Heading2"/>
      </w:pPr>
      <w:r>
        <w:t xml:space="preserve">2. Last Quarter's Blowout (Fiscal Q3 2026, reported April 30)</w:t>
      </w:r>
    </w:p>
    <w:p>
      <w:pPr>
        <w:pStyle w:val="FirstParagraph"/>
      </w:pPr>
      <w:r>
        <w:t xml:space="preserve">SanDisk's prior quarter set the bar extremely high and is the reason expectations are so elevated now. Per the company's own reporting: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Q3 FY26</w:t>
            </w:r>
          </w:p>
        </w:tc>
        <w:tc>
          <w:tcPr/>
          <w:p>
            <w:pPr>
              <w:pStyle w:val="Compact"/>
            </w:pPr>
            <w:r>
              <w:t xml:space="preserve">Q2 FY26</w:t>
            </w:r>
          </w:p>
        </w:tc>
        <w:tc>
          <w:tcPr/>
          <w:p>
            <w:pPr>
              <w:pStyle w:val="Compact"/>
            </w:pPr>
            <w:r>
              <w:t xml:space="preserve">Y/Y</w:t>
            </w:r>
          </w:p>
        </w:tc>
      </w:tr>
      <w:tr>
        <w:tc>
          <w:tcPr/>
          <w:p>
            <w:pPr>
              <w:pStyle w:val="Compact"/>
            </w:pPr>
            <w:r>
              <w:t xml:space="preserve">Revenue</w:t>
            </w:r>
          </w:p>
        </w:tc>
        <w:tc>
          <w:tcPr/>
          <w:p>
            <w:pPr>
              <w:pStyle w:val="Compact"/>
            </w:pPr>
            <w:r>
              <w:t xml:space="preserve">$5.95B</w:t>
            </w:r>
          </w:p>
        </w:tc>
        <w:tc>
          <w:tcPr/>
          <w:p>
            <w:pPr>
              <w:pStyle w:val="Compact"/>
            </w:pPr>
            <w:r>
              <w:t xml:space="preserve">$3.03B</w:t>
            </w:r>
          </w:p>
        </w:tc>
        <w:tc>
          <w:tcPr/>
          <w:p>
            <w:pPr>
              <w:pStyle w:val="Compact"/>
            </w:pPr>
            <w:r>
              <w:t xml:space="preserve">+251%</w:t>
            </w:r>
          </w:p>
        </w:tc>
      </w:tr>
      <w:tr>
        <w:tc>
          <w:tcPr/>
          <w:p>
            <w:pPr>
              <w:pStyle w:val="Compact"/>
            </w:pPr>
            <w:r>
              <w:t xml:space="preserve">Non-GAAP Gross Margin</w:t>
            </w:r>
          </w:p>
        </w:tc>
        <w:tc>
          <w:tcPr/>
          <w:p>
            <w:pPr>
              <w:pStyle w:val="Compact"/>
            </w:pPr>
            <w:r>
              <w:t xml:space="preserve">78.4%</w:t>
            </w:r>
          </w:p>
        </w:tc>
        <w:tc>
          <w:tcPr/>
          <w:p>
            <w:pPr>
              <w:pStyle w:val="Compact"/>
            </w:pPr>
            <w:r>
              <w:t xml:space="preserve">51.1%</w:t>
            </w:r>
          </w:p>
        </w:tc>
        <w:tc>
          <w:tcPr/>
          <w:p>
            <w:pPr>
              <w:pStyle w:val="Compact"/>
            </w:pPr>
            <w:r>
              <w:t xml:space="preserve">+55.7 ppt</w:t>
            </w:r>
          </w:p>
        </w:tc>
      </w:tr>
      <w:tr>
        <w:tc>
          <w:tcPr/>
          <w:p>
            <w:pPr>
              <w:pStyle w:val="Compact"/>
            </w:pPr>
            <w:r>
              <w:t xml:space="preserve">Non-GAAP EPS</w:t>
            </w:r>
          </w:p>
        </w:tc>
        <w:tc>
          <w:tcPr/>
          <w:p>
            <w:pPr>
              <w:pStyle w:val="Compact"/>
            </w:pPr>
            <w:r>
              <w:t xml:space="preserve">$23.41</w:t>
            </w:r>
          </w:p>
        </w:tc>
        <w:tc>
          <w:tcPr/>
          <w:p>
            <w:pPr>
              <w:pStyle w:val="Compact"/>
            </w:pPr>
            <w:r>
              <w:t xml:space="preserve">$6.20</w:t>
            </w:r>
          </w:p>
        </w:tc>
        <w:tc>
          <w:tcPr/>
          <w:p>
            <w:pPr>
              <w:pStyle w:val="Compact"/>
            </w:pPr>
            <w:r>
              <w:t xml:space="preserve">vs. $(0.30)</w:t>
            </w:r>
          </w:p>
        </w:tc>
      </w:tr>
      <w:tr>
        <w:tc>
          <w:tcPr/>
          <w:p>
            <w:pPr>
              <w:pStyle w:val="Compact"/>
            </w:pPr>
            <w:r>
              <w:t xml:space="preserve">Adjusted Free Cash Flow</w:t>
            </w:r>
          </w:p>
        </w:tc>
        <w:tc>
          <w:tcPr/>
          <w:p>
            <w:pPr>
              <w:pStyle w:val="Compact"/>
            </w:pPr>
            <w:r>
              <w:t xml:space="preserve">$2.96B (49.7% margin)</w:t>
            </w:r>
          </w:p>
        </w:tc>
        <w:tc>
          <w:tcPr/>
          <w:p>
            <w:pPr>
              <w:pStyle w:val="Compact"/>
            </w:pPr>
            <w:r>
              <w:t xml:space="preserve">$0.84B</w:t>
            </w:r>
          </w:p>
        </w:tc>
        <w:tc>
          <w:tcPr/>
          <w:p>
            <w:pPr>
              <w:pStyle w:val="Compact"/>
            </w:pPr>
            <w:r>
              <w:t xml:space="preserve">—</w:t>
            </w:r>
          </w:p>
        </w:tc>
      </w:tr>
      <w:tr>
        <w:tc>
          <w:tcPr/>
          <w:p>
            <w:pPr>
              <w:pStyle w:val="Compact"/>
            </w:pPr>
            <w:r>
              <w:t xml:space="preserve">Data Center Revenue</w:t>
            </w:r>
          </w:p>
        </w:tc>
        <w:tc>
          <w:tcPr/>
          <w:p>
            <w:pPr>
              <w:pStyle w:val="Compact"/>
            </w:pPr>
            <w:r>
              <w:t xml:space="preserve">$1.47B</w:t>
            </w:r>
          </w:p>
        </w:tc>
        <w:tc>
          <w:tcPr/>
          <w:p>
            <w:pPr>
              <w:pStyle w:val="Compact"/>
            </w:pPr>
            <w:r>
              <w:t xml:space="preserve">$0.44B</w:t>
            </w:r>
          </w:p>
        </w:tc>
        <w:tc>
          <w:tcPr/>
          <w:p>
            <w:pPr>
              <w:pStyle w:val="Compact"/>
            </w:pPr>
            <w:r>
              <w:t xml:space="preserve">+233% Q/Q, +645% Y/Y</w:t>
            </w:r>
          </w:p>
        </w:tc>
      </w:tr>
    </w:tbl>
    <w:p>
      <w:pPr>
        <w:pStyle w:val="BodyText"/>
      </w:pPr>
      <w:r>
        <w:t xml:space="preserve">Results dramatically exceeded SanDisk's own guidance (revenue guide was $4.4–4.8B; gross margin guide was 65–67%). The beat was driven by mix-shift toward data center/enterprise SSD customers and sharply higher NAND pricing.</w:t>
      </w:r>
    </w:p>
    <w:bookmarkEnd w:id="10"/>
    <w:bookmarkStart w:id="11" w:name="Xdc697057ec46ac34b2e0026eace8da179435e8a"/>
    <w:p>
      <w:pPr>
        <w:pStyle w:val="Heading2"/>
      </w:pPr>
      <w:r>
        <w:t xml:space="preserve">3. Guidance Set for Tonight's Quarter — and the Bar Has Moved Higher</w:t>
      </w:r>
    </w:p>
    <w:p>
      <w:pPr>
        <w:pStyle w:val="FirstParagraph"/>
      </w:pPr>
      <w:r>
        <w:t xml:space="preserve">Management's own Q4 guidance, issued in April, called for:</w:t>
      </w:r>
    </w:p>
    <w:p>
      <w:pPr>
        <w:pStyle w:val="Compact"/>
        <w:numPr>
          <w:ilvl w:val="0"/>
          <w:numId w:val="1001"/>
        </w:numPr>
      </w:pPr>
      <w:r>
        <w:rPr>
          <w:b/>
          <w:bCs/>
        </w:rPr>
        <w:t xml:space="preserve">Revenue:</w:t>
      </w:r>
      <w:r>
        <w:t xml:space="preserve"> </w:t>
      </w:r>
      <m:oMath>
        <m:r>
          <m:t>7.75</m:t>
        </m:r>
        <m:r>
          <m:t>B</m:t>
        </m:r>
        <m:r>
          <m:rPr>
            <m:sty m:val="p"/>
          </m:rPr>
          <m:t>–</m:t>
        </m:r>
      </m:oMath>
      <w:r>
        <w:t xml:space="preserve">8.25B</w:t>
      </w:r>
    </w:p>
    <w:p>
      <w:pPr>
        <w:pStyle w:val="Compact"/>
        <w:numPr>
          <w:ilvl w:val="0"/>
          <w:numId w:val="1001"/>
        </w:numPr>
      </w:pPr>
      <w:r>
        <w:rPr>
          <w:b/>
          <w:bCs/>
        </w:rPr>
        <w:t xml:space="preserve">Non-GAAP gross margin:</w:t>
      </w:r>
      <w:r>
        <w:t xml:space="preserve"> </w:t>
      </w:r>
      <w:r>
        <w:t xml:space="preserve">79%–81%</w:t>
      </w:r>
    </w:p>
    <w:p>
      <w:pPr>
        <w:pStyle w:val="Compact"/>
        <w:numPr>
          <w:ilvl w:val="0"/>
          <w:numId w:val="1001"/>
        </w:numPr>
      </w:pPr>
      <w:r>
        <w:rPr>
          <w:b/>
          <w:bCs/>
        </w:rPr>
        <w:t xml:space="preserve">Non-GAAP EPS:</w:t>
      </w:r>
      <w:r>
        <w:t xml:space="preserve"> </w:t>
      </w:r>
      <m:oMath>
        <m:r>
          <m:t>30.00</m:t>
        </m:r>
        <m:r>
          <m:rPr>
            <m:sty m:val="p"/>
          </m:rPr>
          <m:t>–</m:t>
        </m:r>
      </m:oMath>
      <w:r>
        <w:t xml:space="preserve">33.00</w:t>
      </w:r>
    </w:p>
    <w:p>
      <w:pPr>
        <w:pStyle w:val="Compact"/>
        <w:numPr>
          <w:ilvl w:val="0"/>
          <w:numId w:val="1001"/>
        </w:numPr>
      </w:pPr>
      <w:r>
        <w:rPr>
          <w:b/>
          <w:bCs/>
        </w:rPr>
        <w:t xml:space="preserve">Diluted shares:</w:t>
      </w:r>
      <w:r>
        <w:t xml:space="preserve"> </w:t>
      </w:r>
      <w:r>
        <w:t xml:space="preserve">~158M</w:t>
      </w:r>
    </w:p>
    <w:p>
      <w:pPr>
        <w:pStyle w:val="FirstParagraph"/>
      </w:pPr>
      <w:r>
        <w:t xml:space="preserve">Since then, the Street has pushed estimates</w:t>
      </w:r>
      <w:r>
        <w:t xml:space="preserve"> </w:t>
      </w:r>
      <w:r>
        <w:rPr>
          <w:i/>
          <w:iCs/>
        </w:rPr>
        <w:t xml:space="preserve">above</w:t>
      </w:r>
      <w:r>
        <w:t xml:space="preserve"> </w:t>
      </w:r>
      <w:r>
        <w:t xml:space="preserve">the top end of guidance — a sign analysts believe the NAND pricing/demand environment strengthened further during the quarter. Consensus estimates cited across sell-side and data providers cluster around</w:t>
      </w:r>
      <w:r>
        <w:t xml:space="preserve"> </w:t>
      </w:r>
      <w:r>
        <w:rPr>
          <w:b/>
          <w:bCs/>
        </w:rPr>
        <w:t xml:space="preserve">$8.3–8.4B in revenue and EPS in the $33–35 range</w:t>
      </w:r>
      <w:r>
        <w:t xml:space="preserve">, with Sandisk's non-GAAP earnings guide of $30–33 per share compared against a consensus mark of $34.24, up 2.8% over the past 30 days, and some bulls modeling even higher: Q4 revenue projected at $8.4–8.7B and non-GAAP EPS around $36, above consensus. That means simply "meeting guidance" may not be enough to satisfy the market — investors may be let down by results that only match estimates, following the recent record-breaking run, and consensus for fourth-quarter EPS runs about 5.1% higher than the top end of management's guidance.</w:t>
      </w:r>
    </w:p>
    <w:p>
      <w:pPr>
        <w:pStyle w:val="BodyText"/>
      </w:pPr>
      <w:r>
        <w:t xml:space="preserve">Goldman Sachs has been among the most bullish, with analyst James Schneider raising his price target and raising the firm's price target on SanDisk from $1,200 to $2,200 while reiterating a Buy rating, expecting a very strong quarter driven by continued NAND supply tightness and encouraging signals from customer agreements disclosed after peer Micron's earnings, with estimates raised on improving NAND pricing trends.</w:t>
      </w:r>
    </w:p>
    <w:bookmarkEnd w:id="11"/>
    <w:bookmarkStart w:id="12" w:name="X258ee1eaceb65478cb4c4af32bec3ebe41f6531"/>
    <w:p>
      <w:pPr>
        <w:pStyle w:val="Heading2"/>
      </w:pPr>
      <w:r>
        <w:t xml:space="preserve">4. The Structural Story: New Business Models (NBMs)</w:t>
      </w:r>
    </w:p>
    <w:p>
      <w:pPr>
        <w:pStyle w:val="FirstParagraph"/>
      </w:pPr>
      <w:r>
        <w:t xml:space="preserve">The single biggest thing differentiating this cycle from prior NAND cycles — and the key theme management will almost certainly revisit — is SanDisk's push into multi-year, contractually-backed supply agreements ("New Business Models"). As of the last call, management had:</w:t>
      </w:r>
    </w:p>
    <w:p>
      <w:pPr>
        <w:pStyle w:val="Compact"/>
        <w:numPr>
          <w:ilvl w:val="0"/>
          <w:numId w:val="1002"/>
        </w:numPr>
      </w:pPr>
      <w:r>
        <w:t xml:space="preserve">Signed</w:t>
      </w:r>
      <w:r>
        <w:t xml:space="preserve"> </w:t>
      </w:r>
      <w:r>
        <w:rPr>
          <w:b/>
          <w:bCs/>
        </w:rPr>
        <w:t xml:space="preserve">5 multiyear NBM agreements</w:t>
      </w:r>
      <w:r>
        <w:t xml:space="preserve">, with 3 completed in fiscal Q3 and 2 more in early Q4</w:t>
      </w:r>
    </w:p>
    <w:p>
      <w:pPr>
        <w:pStyle w:val="Compact"/>
        <w:numPr>
          <w:ilvl w:val="0"/>
          <w:numId w:val="1002"/>
        </w:numPr>
      </w:pPr>
      <w:r>
        <w:t xml:space="preserve">Disclosed</w:t>
      </w:r>
      <w:r>
        <w:t xml:space="preserve"> </w:t>
      </w:r>
      <w:r>
        <w:rPr>
          <w:b/>
          <w:bCs/>
        </w:rPr>
        <w:t xml:space="preserve">~$42 billion in minimum contractual revenue (RPO)</w:t>
      </w:r>
      <w:r>
        <w:t xml:space="preserve"> </w:t>
      </w:r>
      <w:r>
        <w:t xml:space="preserve">from just the first 3 deals</w:t>
      </w:r>
    </w:p>
    <w:p>
      <w:pPr>
        <w:pStyle w:val="Compact"/>
        <w:numPr>
          <w:ilvl w:val="0"/>
          <w:numId w:val="1002"/>
        </w:numPr>
      </w:pPr>
      <w:r>
        <w:t xml:space="preserve">Secured</w:t>
      </w:r>
      <w:r>
        <w:t xml:space="preserve"> </w:t>
      </w:r>
      <w:r>
        <w:rPr>
          <w:b/>
          <w:bCs/>
        </w:rPr>
        <w:t xml:space="preserve">over $11 billion in financial guarantees</w:t>
      </w:r>
      <w:r>
        <w:t xml:space="preserve"> </w:t>
      </w:r>
      <w:r>
        <w:t xml:space="preserve">(prepayments and third-party-backed instruments) protecting SanDisk if customers don't fulfill purchase commitments</w:t>
      </w:r>
    </w:p>
    <w:p>
      <w:pPr>
        <w:pStyle w:val="Compact"/>
        <w:numPr>
          <w:ilvl w:val="0"/>
          <w:numId w:val="1002"/>
        </w:numPr>
      </w:pPr>
      <w:r>
        <w:t xml:space="preserve">Covered</w:t>
      </w:r>
      <w:r>
        <w:t xml:space="preserve"> </w:t>
      </w:r>
      <w:r>
        <w:rPr>
          <w:b/>
          <w:bCs/>
        </w:rPr>
        <w:t xml:space="preserve">over one-third of fiscal 2027 bit volume</w:t>
      </w:r>
      <w:r>
        <w:t xml:space="preserve">, with CEO David Goeckeler saying that figure "can get above 50%" over time</w:t>
      </w:r>
    </w:p>
    <w:p>
      <w:pPr>
        <w:pStyle w:val="FirstParagraph"/>
      </w:pPr>
      <w:r>
        <w:t xml:space="preserve">Management explicitly framed this as an attempt to de-cyclicalize the business — locking in demand certainty for SanDisk and supply assurance for hyperscale customers, with a mix of fixed and variable pricing (more fixed near-term, more variable further out). Analysts have zeroed in on downside protection embedded in these deals: SanDisk locked in three massive deals worth at least $42 billion over their total lifespan, with Bernstein's research separately pointing to a price floor of about $0.29 per gigabyte written into some of these newer contracts — a detail that matters because it tells you SanDisk's downside on that contracted volume is protected even if spot NAND prices eventually soften.</w:t>
      </w:r>
    </w:p>
    <w:p>
      <w:pPr>
        <w:pStyle w:val="BodyText"/>
      </w:pPr>
      <w:r>
        <w:rPr>
          <w:b/>
          <w:bCs/>
        </w:rPr>
        <w:t xml:space="preserve">What to watch tonight:</w:t>
      </w:r>
      <w:r>
        <w:t xml:space="preserve"> </w:t>
      </w:r>
      <w:r>
        <w:t xml:space="preserve">an updated NBM count/RPO figure, whether the &gt;1/3 FY27 bit-commitment share has grown, and any qualitative color on renewal/duration cadence.</w:t>
      </w:r>
    </w:p>
    <w:bookmarkEnd w:id="12"/>
    <w:bookmarkStart w:id="13" w:name="X7798bff91655e80ca825be16dc315f202eec484"/>
    <w:p>
      <w:pPr>
        <w:pStyle w:val="Heading2"/>
      </w:pPr>
      <w:r>
        <w:t xml:space="preserve">5. End-Market and Product Mix</w:t>
      </w:r>
    </w:p>
    <w:p>
      <w:pPr>
        <w:pStyle w:val="Compact"/>
        <w:numPr>
          <w:ilvl w:val="0"/>
          <w:numId w:val="1003"/>
        </w:numPr>
      </w:pPr>
      <w:r>
        <w:rPr>
          <w:b/>
          <w:bCs/>
        </w:rPr>
        <w:t xml:space="preserve">Data center</w:t>
      </w:r>
      <w:r>
        <w:t xml:space="preserve"> </w:t>
      </w:r>
      <w:r>
        <w:t xml:space="preserve">is now the fastest-growing and most strategic segment, aided by AI inference workloads (KV cache, RAG, agentic AI) that management argues are structurally increasing NAND intensity. TLC enterprise SSDs drove last quarter's data-center surge; management said it expects to</w:t>
      </w:r>
      <w:r>
        <w:t xml:space="preserve"> </w:t>
      </w:r>
      <w:r>
        <w:rPr>
          <w:b/>
          <w:bCs/>
        </w:rPr>
        <w:t xml:space="preserve">begin shipping QLC "Stargate" solutions for revenue in fiscal Q4</w:t>
      </w:r>
      <w:r>
        <w:t xml:space="preserve"> </w:t>
      </w:r>
      <w:r>
        <w:t xml:space="preserve">— the ramp trajectory here is a key incremental swing factor for this print.</w:t>
      </w:r>
    </w:p>
    <w:p>
      <w:pPr>
        <w:pStyle w:val="Compact"/>
        <w:numPr>
          <w:ilvl w:val="0"/>
          <w:numId w:val="1003"/>
        </w:numPr>
      </w:pPr>
      <w:r>
        <w:rPr>
          <w:b/>
          <w:bCs/>
        </w:rPr>
        <w:t xml:space="preserve">Edge</w:t>
      </w:r>
      <w:r>
        <w:t xml:space="preserve"> </w:t>
      </w:r>
      <w:r>
        <w:t xml:space="preserve">(PC/mobile) benefited from a mix shift toward premium, higher-capacity configurations even as unit volumes stayed soft; management expects PC/phone units to flatten-to-slightly-up in fiscal 2027.</w:t>
      </w:r>
    </w:p>
    <w:p>
      <w:pPr>
        <w:pStyle w:val="Compact"/>
        <w:numPr>
          <w:ilvl w:val="0"/>
          <w:numId w:val="1003"/>
        </w:numPr>
      </w:pPr>
      <w:r>
        <w:rPr>
          <w:b/>
          <w:bCs/>
        </w:rPr>
        <w:t xml:space="preserve">Consumer</w:t>
      </w:r>
      <w:r>
        <w:t xml:space="preserve"> </w:t>
      </w:r>
      <w:r>
        <w:t xml:space="preserve">revenue was seasonally softer last quarter but still up sharply year-over-year.</w:t>
      </w:r>
    </w:p>
    <w:p>
      <w:pPr>
        <w:pStyle w:val="Compact"/>
        <w:numPr>
          <w:ilvl w:val="0"/>
          <w:numId w:val="1003"/>
        </w:numPr>
      </w:pPr>
      <w:r>
        <w:t xml:space="preserve">Longer-dated optionality:</w:t>
      </w:r>
      <w:r>
        <w:t xml:space="preserve"> </w:t>
      </w:r>
      <w:r>
        <w:rPr>
          <w:b/>
          <w:bCs/>
        </w:rPr>
        <w:t xml:space="preserve">High-Bandwidth Flash (HBF)</w:t>
      </w:r>
      <w:r>
        <w:t xml:space="preserve">, a new NAND die architecture aimed at AI inference, with first silicon expected later this year and a controller in 2027 — optionality that bulls are paying for, though it remains unproven as a system-level product still being designed with customers, not a shipping revenue line.</w:t>
      </w:r>
    </w:p>
    <w:bookmarkEnd w:id="13"/>
    <w:bookmarkStart w:id="14" w:name="X64bc28efc11ebc55165e0dee90238961bb5f68a"/>
    <w:p>
      <w:pPr>
        <w:pStyle w:val="Heading2"/>
      </w:pPr>
      <w:r>
        <w:t xml:space="preserve">6. Balance Sheet &amp; Capital Returns</w:t>
      </w:r>
    </w:p>
    <w:p>
      <w:pPr>
        <w:pStyle w:val="FirstParagraph"/>
      </w:pPr>
      <w:r>
        <w:t xml:space="preserve">SanDisk enters this print in a much stronger financial position than a year ago:</w:t>
      </w:r>
    </w:p>
    <w:p>
      <w:pPr>
        <w:pStyle w:val="Compact"/>
        <w:numPr>
          <w:ilvl w:val="0"/>
          <w:numId w:val="1004"/>
        </w:numPr>
      </w:pPr>
      <w:r>
        <w:t xml:space="preserve">Ended fiscal Q3 with</w:t>
      </w:r>
      <w:r>
        <w:t xml:space="preserve"> </w:t>
      </w:r>
      <w:r>
        <w:rPr>
          <w:b/>
          <w:bCs/>
        </w:rPr>
        <w:t xml:space="preserve">$3.7B in cash</w:t>
      </w:r>
      <w:r>
        <w:t xml:space="preserve"> </w:t>
      </w:r>
      <w:r>
        <w:t xml:space="preserve">and</w:t>
      </w:r>
      <w:r>
        <w:t xml:space="preserve"> </w:t>
      </w:r>
      <w:r>
        <w:rPr>
          <w:b/>
          <w:bCs/>
        </w:rPr>
        <w:t xml:space="preserve">zero debt</w:t>
      </w:r>
      <w:r>
        <w:t xml:space="preserve"> </w:t>
      </w:r>
      <w:r>
        <w:t xml:space="preserve">after repaying its remaining term loan balance</w:t>
      </w:r>
    </w:p>
    <w:p>
      <w:pPr>
        <w:pStyle w:val="Compact"/>
        <w:numPr>
          <w:ilvl w:val="0"/>
          <w:numId w:val="1004"/>
        </w:numPr>
      </w:pPr>
      <w:r>
        <w:t xml:space="preserve">Board authorized a</w:t>
      </w:r>
      <w:r>
        <w:t xml:space="preserve"> </w:t>
      </w:r>
      <w:r>
        <w:rPr>
          <w:b/>
          <w:bCs/>
        </w:rPr>
        <w:t xml:space="preserve">$6 billion share buyback</w:t>
      </w:r>
      <w:r>
        <w:t xml:space="preserve"> </w:t>
      </w:r>
      <w:r>
        <w:t xml:space="preserve">with no expiration</w:t>
      </w:r>
    </w:p>
    <w:p>
      <w:pPr>
        <w:pStyle w:val="Compact"/>
        <w:numPr>
          <w:ilvl w:val="0"/>
          <w:numId w:val="1004"/>
        </w:numPr>
      </w:pPr>
      <w:r>
        <w:t xml:space="preserve">Generated</w:t>
      </w:r>
      <w:r>
        <w:t xml:space="preserve"> </w:t>
      </w:r>
      <w:r>
        <w:rPr>
          <w:b/>
          <w:bCs/>
        </w:rPr>
        <w:t xml:space="preserve">$2.96B in adjusted free cash flow</w:t>
      </w:r>
      <w:r>
        <w:t xml:space="preserve"> </w:t>
      </w:r>
      <w:r>
        <w:t xml:space="preserve">in a single quarter (~50% FCF margin)</w:t>
      </w:r>
    </w:p>
    <w:p>
      <w:pPr>
        <w:pStyle w:val="FirstParagraph"/>
      </w:pPr>
      <w:r>
        <w:t xml:space="preserve">Investors will want an update on buyback pace and capital allocation priorities now that the "invest → net cash → return capital" sequence management outlined has largely been achieved.</w:t>
      </w:r>
    </w:p>
    <w:bookmarkEnd w:id="14"/>
    <w:bookmarkStart w:id="15" w:name="X117a4d8c73013996683c7815d3eeceea23cbd6e"/>
    <w:p>
      <w:pPr>
        <w:pStyle w:val="Heading2"/>
      </w:pPr>
      <w:r>
        <w:t xml:space="preserve">7. Bear Case / Key Risks</w:t>
      </w:r>
    </w:p>
    <w:p>
      <w:pPr>
        <w:pStyle w:val="Compact"/>
        <w:numPr>
          <w:ilvl w:val="0"/>
          <w:numId w:val="1005"/>
        </w:numPr>
      </w:pPr>
      <w:r>
        <w:rPr>
          <w:b/>
          <w:bCs/>
        </w:rPr>
        <w:t xml:space="preserve">Cyclicality is not gone, just delayed.</w:t>
      </w:r>
      <w:r>
        <w:t xml:space="preserve"> </w:t>
      </w:r>
      <w:r>
        <w:t xml:space="preserve">Only roughly a third of FY27 bit volume is contractually locked in — the majority of the business remains exposed to spot NAND pricing, which is inherently volatile. As one analysis put it, investors are no longer just asking whether AI demand is strong — they are asking whether current margins and pricing can survive new capacity additions.</w:t>
      </w:r>
    </w:p>
    <w:p>
      <w:pPr>
        <w:pStyle w:val="Compact"/>
        <w:numPr>
          <w:ilvl w:val="0"/>
          <w:numId w:val="1005"/>
        </w:numPr>
      </w:pPr>
      <w:r>
        <w:rPr>
          <w:b/>
          <w:bCs/>
        </w:rPr>
        <w:t xml:space="preserve">Elevated margins could invite competitive capacity response.</w:t>
      </w:r>
      <w:r>
        <w:t xml:space="preserve"> </w:t>
      </w:r>
      <w:r>
        <w:t xml:space="preserve">NAND pricing, which has been in tight supply throughout 2026, faced renewed scrutiny as analysts flagged the risk that elevated margins (SanDisk reported a 78.4% GAAP gross margin in fiscal Q3) could incentivize capacity expansion across the industry, eventually eroding the pricing power that fueled the rally.</w:t>
      </w:r>
    </w:p>
    <w:p>
      <w:pPr>
        <w:pStyle w:val="Compact"/>
        <w:numPr>
          <w:ilvl w:val="0"/>
          <w:numId w:val="1005"/>
        </w:numPr>
      </w:pPr>
      <w:r>
        <w:rPr>
          <w:b/>
          <w:bCs/>
        </w:rPr>
        <w:t xml:space="preserve">Chinese competition.</w:t>
      </w:r>
      <w:r>
        <w:t xml:space="preserve"> </w:t>
      </w:r>
      <w:r>
        <w:t xml:space="preserve">Rising share from Chinese memory makers is a growing overhang across the group, adding a structural risk narrative beyond near-term cyclicality.</w:t>
      </w:r>
    </w:p>
    <w:p>
      <w:pPr>
        <w:pStyle w:val="Compact"/>
        <w:numPr>
          <w:ilvl w:val="0"/>
          <w:numId w:val="1005"/>
        </w:numPr>
      </w:pPr>
      <w:r>
        <w:rPr>
          <w:b/>
          <w:bCs/>
        </w:rPr>
        <w:t xml:space="preserve">Extreme valuation swings / high beta.</w:t>
      </w:r>
      <w:r>
        <w:t xml:space="preserve"> </w:t>
      </w:r>
      <w:r>
        <w:t xml:space="preserve">SanDisk has become a retail/momentum favorite, and heavy WallStreetBets focus has amplified sharp selloffs, with SNDK trading as a high-beta proxy for storage and semiconductor risk, supercharged by retail speculation. Skeptics like Morningstar's William Kerwin have called SanDisk's NAND boom "tremendous, but finite," keeping a $1,000 price target and a "Very High" uncertainty rating.</w:t>
      </w:r>
    </w:p>
    <w:p>
      <w:pPr>
        <w:pStyle w:val="Compact"/>
        <w:numPr>
          <w:ilvl w:val="0"/>
          <w:numId w:val="1005"/>
        </w:numPr>
      </w:pPr>
      <w:r>
        <w:rPr>
          <w:b/>
          <w:bCs/>
        </w:rPr>
        <w:t xml:space="preserve">Investor Day right around the corner.</w:t>
      </w:r>
      <w:r>
        <w:t xml:space="preserve"> </w:t>
      </w:r>
      <w:r>
        <w:t xml:space="preserve">An Investor Day is reportedly scheduled for</w:t>
      </w:r>
      <w:r>
        <w:t xml:space="preserve"> </w:t>
      </w:r>
      <w:r>
        <w:rPr>
          <w:b/>
          <w:bCs/>
        </w:rPr>
        <w:t xml:space="preserve">August 13</w:t>
      </w:r>
      <w:r>
        <w:t xml:space="preserve">, just eight days after earnings — a second catalyst where management may lay out longer-term financial targets and quantify the NBM pipeline further. This could mute or amplify the reaction to tonight's numbers depending on how much detail management chooses to save.</w:t>
      </w:r>
    </w:p>
    <w:bookmarkEnd w:id="15"/>
    <w:bookmarkStart w:id="16" w:name="Xd2298109262e348cc69b8c3af4df6afc5cfe5b9"/>
    <w:p>
      <w:pPr>
        <w:pStyle w:val="Heading2"/>
      </w:pPr>
      <w:r>
        <w:t xml:space="preserve">8. Bottom Line for Investors</w:t>
      </w:r>
    </w:p>
    <w:p>
      <w:pPr>
        <w:pStyle w:val="FirstParagraph"/>
      </w:pPr>
      <w:r>
        <w:t xml:space="preserve">Going into this print, the fundamental setup — data-center-led demand acceleration, a multi-year contracting strategy designed to reduce cyclicality, a fortress balance sheet, and a fresh buyback — is arguably as strong as it's been since the spinoff. Sell-side sentiment remains firmly bullish, with the Street's average 12-month price target suggesting more than 23% upside from current levels. But the stock's violent round-trip over the past six weeks shows how quickly narrative can flip on a "pure-play" NAND name with no diversification to hide behind. The key questions management needs to answer aren't really about the headline beat-or-miss (consensus already sits above guidance) — they're about</w:t>
      </w:r>
      <w:r>
        <w:t xml:space="preserve"> </w:t>
      </w:r>
      <w:r>
        <w:rPr>
          <w:b/>
          <w:bCs/>
        </w:rPr>
        <w:t xml:space="preserve">(1)</w:t>
      </w:r>
      <w:r>
        <w:t xml:space="preserve"> </w:t>
      </w:r>
      <w:r>
        <w:t xml:space="preserve">whether NAND pricing/ASP momentum continued through the quarter,</w:t>
      </w:r>
      <w:r>
        <w:t xml:space="preserve"> </w:t>
      </w:r>
      <w:r>
        <w:rPr>
          <w:b/>
          <w:bCs/>
        </w:rPr>
        <w:t xml:space="preserve">(2)</w:t>
      </w:r>
      <w:r>
        <w:t xml:space="preserve"> </w:t>
      </w:r>
      <w:r>
        <w:t xml:space="preserve">how far the QLC Stargate ramp has progressed,</w:t>
      </w:r>
      <w:r>
        <w:t xml:space="preserve"> </w:t>
      </w:r>
      <w:r>
        <w:rPr>
          <w:b/>
          <w:bCs/>
        </w:rPr>
        <w:t xml:space="preserve">(3)</w:t>
      </w:r>
      <w:r>
        <w:t xml:space="preserve"> </w:t>
      </w:r>
      <w:r>
        <w:t xml:space="preserve">whether the contracted (NBM) share of future bit volume has meaningfully increased beyond one-third, and</w:t>
      </w:r>
      <w:r>
        <w:t xml:space="preserve"> </w:t>
      </w:r>
      <w:r>
        <w:rPr>
          <w:b/>
          <w:bCs/>
        </w:rPr>
        <w:t xml:space="preserve">(4)</w:t>
      </w:r>
      <w:r>
        <w:t xml:space="preserve"> </w:t>
      </w:r>
      <w:r>
        <w:t xml:space="preserve">what early commentary suggests about fiscal 2027 margins and capacity plans. Given how much of the recent selloff was described as sentiment/positioning-driven rather than fundamentals-driven, a clean beat-and-raise with concrete NBM progress could spark a sharp relief rally — but a "good but not great" quarter, paired with any hint of pricing deceleration, risks reigniting the cyclicality fears that drove July's crash.</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2026-08-05T00:59:16Z</dcterms:created>
  <dcterms:modified xsi:type="dcterms:W3CDTF">2026-08-05T00:59:16Z</dcterms:modified>
</cp:coreProperties>
</file>

<file path=docProps/custom.xml><?xml version="1.0" encoding="utf-8"?>
<Properties xmlns="http://schemas.openxmlformats.org/officeDocument/2006/custom-properties" xmlns:vt="http://schemas.openxmlformats.org/officeDocument/2006/docPropsVTypes"/>
</file>