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sndk-fiscal-4q26-earnings-preview"/>
    <w:p>
      <w:pPr>
        <w:pStyle w:val="Heading1"/>
      </w:pPr>
      <w:r>
        <w:t xml:space="preserve">SNDK Fiscal 4Q26 Earnings Preview</w:t>
      </w:r>
    </w:p>
    <w:p>
      <w:pPr>
        <w:pStyle w:val="BlockText"/>
      </w:pPr>
      <w:r>
        <w:rPr>
          <w:b/>
          <w:bCs/>
        </w:rPr>
        <w:t xml:space="preserve">Timing note:</w:t>
      </w:r>
      <w:r>
        <w:t xml:space="preserve"> </w:t>
      </w:r>
      <w:r>
        <w:t xml:space="preserve">Sandisk’s release and conference call are scheduled for</w:t>
      </w:r>
      <w:r>
        <w:t xml:space="preserve"> </w:t>
      </w:r>
      <w:r>
        <w:rPr>
          <w:b/>
          <w:bCs/>
        </w:rPr>
        <w:t xml:space="preserve">today, Wednesday, August 5, 2026</w:t>
      </w:r>
      <w:r>
        <w:t xml:space="preserve">, not tomorrow. The call begins at</w:t>
      </w:r>
      <w:r>
        <w:t xml:space="preserve"> </w:t>
      </w:r>
      <w:r>
        <w:rPr>
          <w:b/>
          <w:bCs/>
        </w:rPr>
        <w:t xml:space="preserve">1:30 p.m. Pacific / 4:30 p.m. Eastern</w:t>
      </w:r>
      <w:r>
        <w:t xml:space="preserve">. The company will also hold an Investor Day on</w:t>
      </w:r>
      <w:r>
        <w:t xml:space="preserve"> </w:t>
      </w:r>
      <w:r>
        <w:rPr>
          <w:b/>
          <w:bCs/>
        </w:rPr>
        <w:t xml:space="preserve">August 13</w:t>
      </w:r>
      <w:r>
        <w:t xml:space="preserve">.</w:t>
      </w:r>
    </w:p>
    <w:bookmarkStart w:id="9" w:name="investment-view-going-into-the-report"/>
    <w:p>
      <w:pPr>
        <w:pStyle w:val="Heading2"/>
      </w:pPr>
      <w:r>
        <w:t xml:space="preserve">Investment view going into the report</w:t>
      </w:r>
    </w:p>
    <w:p>
      <w:pPr>
        <w:pStyle w:val="FirstParagraph"/>
      </w:pPr>
      <w:r>
        <w:t xml:space="preserve">This is less a conventional earnings report than a test of whether Sandisk’s extraordinary fiscal third-quarter economics represent a durable reset or an exceptionally favorable point in the NAND cycle.</w:t>
      </w:r>
    </w:p>
    <w:p>
      <w:pPr>
        <w:pStyle w:val="BodyText"/>
      </w:pPr>
      <w:r>
        <w:t xml:space="preserve">Management’s fiscal fourth-quarter guidance already calls for another large sequential increase in revenue and earnings, with gross margin reaching roughly 80%. But the stock’s extreme volatility shows that investors remain unconvinced those economics can last. Consequently, simply beating quarterly guidance may not be enough. The most important information will be:</w:t>
      </w:r>
    </w:p>
    <w:p>
      <w:pPr>
        <w:pStyle w:val="Compact"/>
        <w:numPr>
          <w:ilvl w:val="0"/>
          <w:numId w:val="1001"/>
        </w:numPr>
      </w:pPr>
      <w:r>
        <w:rPr>
          <w:b/>
          <w:bCs/>
        </w:rPr>
        <w:t xml:space="preserve">Fiscal 2027 revenue and gross-margin expectations</w:t>
      </w:r>
    </w:p>
    <w:p>
      <w:pPr>
        <w:pStyle w:val="Compact"/>
        <w:numPr>
          <w:ilvl w:val="0"/>
          <w:numId w:val="1001"/>
        </w:numPr>
      </w:pPr>
      <w:r>
        <w:rPr>
          <w:b/>
          <w:bCs/>
        </w:rPr>
        <w:t xml:space="preserve">Expansion of multiyear customer agreements</w:t>
      </w:r>
    </w:p>
    <w:p>
      <w:pPr>
        <w:pStyle w:val="Compact"/>
        <w:numPr>
          <w:ilvl w:val="0"/>
          <w:numId w:val="1001"/>
        </w:numPr>
      </w:pPr>
      <w:r>
        <w:rPr>
          <w:b/>
          <w:bCs/>
        </w:rPr>
        <w:t xml:space="preserve">The QLC Stargate enterprise SSD ramp</w:t>
      </w:r>
    </w:p>
    <w:p>
      <w:pPr>
        <w:pStyle w:val="Compact"/>
        <w:numPr>
          <w:ilvl w:val="0"/>
          <w:numId w:val="1001"/>
        </w:numPr>
      </w:pPr>
      <w:r>
        <w:rPr>
          <w:b/>
          <w:bCs/>
        </w:rPr>
        <w:t xml:space="preserve">Evidence that demand—not only pricing—is driving growth</w:t>
      </w:r>
    </w:p>
    <w:p>
      <w:pPr>
        <w:pStyle w:val="Compact"/>
        <w:numPr>
          <w:ilvl w:val="0"/>
          <w:numId w:val="1001"/>
        </w:numPr>
      </w:pPr>
      <w:r>
        <w:rPr>
          <w:b/>
          <w:bCs/>
        </w:rPr>
        <w:t xml:space="preserve">Actual execution under the $6 billion repurchase authorization</w:t>
      </w:r>
    </w:p>
    <w:p>
      <w:pPr>
        <w:pStyle w:val="FirstParagraph"/>
      </w:pPr>
      <w:r>
        <w:t xml:space="preserve">The upcoming Investor Day may limit the amount of long-term detail management provides on the call, but investors will still expect enough fiscal 2027 commentary to bridge the two events.</w:t>
      </w:r>
    </w:p>
    <w:p>
      <w:r>
        <w:pict>
          <v:rect style="width:0;height:1.5pt" o:hralign="center" o:hrstd="t" o:hr="t"/>
        </w:pict>
      </w:r>
    </w:p>
    <w:bookmarkEnd w:id="9"/>
    <w:bookmarkStart w:id="11" w:name="the-numbers-to-beat"/>
    <w:p>
      <w:pPr>
        <w:pStyle w:val="Heading2"/>
      </w:pPr>
      <w:r>
        <w:t xml:space="preserve">The numbers to beat</w:t>
      </w:r>
    </w:p>
    <w:bookmarkStart w:id="10" w:name="managements-fiscal-4q26-guidance"/>
    <w:p>
      <w:pPr>
        <w:pStyle w:val="Heading3"/>
      </w:pPr>
      <w:r>
        <w:t xml:space="preserve">Management’s fiscal 4Q26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4Q26 guidance</w:t>
            </w:r>
          </w:p>
        </w:tc>
        <w:tc>
          <w:tcPr/>
          <w:p>
            <w:pPr>
              <w:pStyle w:val="Compact"/>
              <w:jc w:val="right"/>
            </w:pPr>
            <w:r>
              <w:t xml:space="preserve">3Q26 actual</w:t>
            </w:r>
          </w:p>
        </w:tc>
        <w:tc>
          <w:tcPr/>
          <w:p>
            <w:pPr>
              <w:pStyle w:val="Compact"/>
              <w:jc w:val="right"/>
            </w:pPr>
            <w:r>
              <w:t xml:space="preserve">Sequential change at midpoint</w:t>
            </w:r>
          </w:p>
        </w:tc>
      </w:tr>
      <w:tr>
        <w:tc>
          <w:tcPr/>
          <w:p>
            <w:pPr>
              <w:pStyle w:val="Compact"/>
            </w:pPr>
            <w:r>
              <w:t xml:space="preserve">Revenue</w:t>
            </w:r>
          </w:p>
        </w:tc>
        <w:tc>
          <w:tcPr/>
          <w:p>
            <w:pPr>
              <w:pStyle w:val="Compact"/>
              <w:jc w:val="right"/>
            </w:pPr>
            <m:oMath>
              <m:r>
                <m:t>7.75</m:t>
              </m:r>
              <m:r>
                <m:t>B</m:t>
              </m:r>
              <m:r>
                <m:rPr>
                  <m:sty m:val="p"/>
                </m:rPr>
                <m:t>–</m:t>
              </m:r>
            </m:oMath>
            <w:r>
              <w:rPr>
                <w:b/>
                <w:bCs/>
              </w:rPr>
              <w:t xml:space="preserve">8.25B</w:t>
            </w:r>
          </w:p>
        </w:tc>
        <w:tc>
          <w:tcPr/>
          <w:p>
            <w:pPr>
              <w:pStyle w:val="Compact"/>
              <w:jc w:val="right"/>
            </w:pPr>
            <w:r>
              <w:t xml:space="preserve">$5.95B</w:t>
            </w:r>
          </w:p>
        </w:tc>
        <w:tc>
          <w:tcPr/>
          <w:p>
            <w:pPr>
              <w:pStyle w:val="Compact"/>
              <w:jc w:val="right"/>
            </w:pPr>
            <w:r>
              <w:rPr>
                <w:b/>
                <w:bCs/>
              </w:rPr>
              <w:t xml:space="preserve">+34%</w:t>
            </w:r>
          </w:p>
        </w:tc>
      </w:tr>
      <w:tr>
        <w:tc>
          <w:tcPr/>
          <w:p>
            <w:pPr>
              <w:pStyle w:val="Compact"/>
            </w:pPr>
            <w:r>
              <w:t xml:space="preserve">Non-GAAP gross margin</w:t>
            </w:r>
          </w:p>
        </w:tc>
        <w:tc>
          <w:tcPr/>
          <w:p>
            <w:pPr>
              <w:pStyle w:val="Compact"/>
              <w:jc w:val="right"/>
            </w:pPr>
            <w:r>
              <w:rPr>
                <w:b/>
                <w:bCs/>
              </w:rPr>
              <w:t xml:space="preserve">79%–81%</w:t>
            </w:r>
          </w:p>
        </w:tc>
        <w:tc>
          <w:tcPr/>
          <w:p>
            <w:pPr>
              <w:pStyle w:val="Compact"/>
              <w:jc w:val="right"/>
            </w:pPr>
            <w:r>
              <w:t xml:space="preserve">78.4%</w:t>
            </w:r>
          </w:p>
        </w:tc>
        <w:tc>
          <w:tcPr/>
          <w:p>
            <w:pPr>
              <w:pStyle w:val="Compact"/>
              <w:jc w:val="right"/>
            </w:pPr>
            <w:r>
              <w:t xml:space="preserve">+160 bps</w:t>
            </w:r>
          </w:p>
        </w:tc>
      </w:tr>
      <w:tr>
        <w:tc>
          <w:tcPr/>
          <w:p>
            <w:pPr>
              <w:pStyle w:val="Compact"/>
            </w:pPr>
            <w:r>
              <w:t xml:space="preserve">Non-GAAP operating expenses</w:t>
            </w:r>
          </w:p>
        </w:tc>
        <w:tc>
          <w:tcPr/>
          <w:p>
            <w:pPr>
              <w:pStyle w:val="Compact"/>
              <w:jc w:val="right"/>
            </w:pPr>
            <m:oMath>
              <m:r>
                <m:t>480</m:t>
              </m:r>
              <m:r>
                <m:t>M</m:t>
              </m:r>
              <m:r>
                <m:rPr>
                  <m:sty m:val="p"/>
                </m:rPr>
                <m:t>–</m:t>
              </m:r>
            </m:oMath>
            <w:r>
              <w:rPr>
                <w:b/>
                <w:bCs/>
              </w:rPr>
              <w:t xml:space="preserve">500M</w:t>
            </w:r>
          </w:p>
        </w:tc>
        <w:tc>
          <w:tcPr/>
          <w:p>
            <w:pPr>
              <w:pStyle w:val="Compact"/>
              <w:jc w:val="right"/>
            </w:pPr>
            <w:r>
              <w:t xml:space="preserve">$448M</w:t>
            </w:r>
          </w:p>
        </w:tc>
        <w:tc>
          <w:tcPr/>
          <w:p>
            <w:pPr>
              <w:pStyle w:val="Compact"/>
              <w:jc w:val="right"/>
            </w:pPr>
            <w:r>
              <w:t xml:space="preserve">+9%</w:t>
            </w:r>
          </w:p>
        </w:tc>
      </w:tr>
      <w:tr>
        <w:tc>
          <w:tcPr/>
          <w:p>
            <w:pPr>
              <w:pStyle w:val="Compact"/>
            </w:pPr>
            <w:r>
              <w:t xml:space="preserve">Interest and other income</w:t>
            </w:r>
          </w:p>
        </w:tc>
        <w:tc>
          <w:tcPr/>
          <w:p>
            <w:pPr>
              <w:pStyle w:val="Compact"/>
              <w:jc w:val="right"/>
            </w:pPr>
            <m:oMath>
              <m:r>
                <m:t>10</m:t>
              </m:r>
              <m:r>
                <m:t>M</m:t>
              </m:r>
              <m:r>
                <m:rPr>
                  <m:sty m:val="p"/>
                </m:rPr>
                <m:t>–</m:t>
              </m:r>
            </m:oMath>
            <w:r>
              <w:rPr>
                <w:b/>
                <w:bCs/>
              </w:rPr>
              <w:t xml:space="preserve">30M</w:t>
            </w:r>
          </w:p>
        </w:tc>
        <w:tc>
          <w:tcPr/>
          <w:p>
            <w:pPr>
              <w:pStyle w:val="Compact"/>
              <w:jc w:val="right"/>
            </w:pPr>
            <w:r>
              <w:t xml:space="preserve">Approximately breakeven</w:t>
            </w:r>
          </w:p>
        </w:tc>
        <w:tc>
          <w:tcPr/>
          <w:p>
            <w:pPr>
              <w:pStyle w:val="Compact"/>
              <w:jc w:val="right"/>
            </w:pPr>
            <w:r>
              <w:t xml:space="preserve">Positive</w:t>
            </w:r>
          </w:p>
        </w:tc>
      </w:tr>
      <w:tr>
        <w:tc>
          <w:tcPr/>
          <w:p>
            <w:pPr>
              <w:pStyle w:val="Compact"/>
            </w:pPr>
            <w:r>
              <w:t xml:space="preserve">Tax expense</w:t>
            </w:r>
          </w:p>
        </w:tc>
        <w:tc>
          <w:tcPr/>
          <w:p>
            <w:pPr>
              <w:pStyle w:val="Compact"/>
              <w:jc w:val="right"/>
            </w:pPr>
            <m:oMath>
              <m:r>
                <m:t>775</m:t>
              </m:r>
              <m:r>
                <m:t>M</m:t>
              </m:r>
              <m:r>
                <m:rPr>
                  <m:sty m:val="p"/>
                </m:rPr>
                <m:t>–</m:t>
              </m:r>
            </m:oMath>
            <w:r>
              <w:rPr>
                <w:b/>
                <w:bCs/>
              </w:rPr>
              <w:t xml:space="preserve">875M</w:t>
            </w:r>
          </w:p>
        </w:tc>
        <w:tc>
          <w:tcPr/>
          <w:p>
            <w:pPr>
              <w:pStyle w:val="Compact"/>
              <w:jc w:val="right"/>
            </w:pPr>
            <w:r>
              <w:t xml:space="preserve">$492M</w:t>
            </w:r>
          </w:p>
        </w:tc>
        <w:tc>
          <w:tcPr/>
          <w:p>
            <w:pPr>
              <w:pStyle w:val="Compact"/>
              <w:jc w:val="right"/>
            </w:pPr>
            <w:r>
              <w:t xml:space="preserve">Higher with earnings</w:t>
            </w:r>
          </w:p>
        </w:tc>
      </w:tr>
      <w:tr>
        <w:tc>
          <w:tcPr/>
          <w:p>
            <w:pPr>
              <w:pStyle w:val="Compact"/>
            </w:pPr>
            <w:r>
              <w:t xml:space="preserve">Non-GAAP EPS</w:t>
            </w:r>
          </w:p>
        </w:tc>
        <w:tc>
          <w:tcPr/>
          <w:p>
            <w:pPr>
              <w:pStyle w:val="Compact"/>
              <w:jc w:val="right"/>
            </w:pPr>
            <m:oMath>
              <m:r>
                <m:t>30</m:t>
              </m:r>
              <m:r>
                <m:rPr>
                  <m:sty m:val="p"/>
                </m:rPr>
                <m:t>–</m:t>
              </m:r>
            </m:oMath>
            <w:r>
              <w:rPr>
                <w:b/>
                <w:bCs/>
              </w:rPr>
              <w:t xml:space="preserve">33</w:t>
            </w:r>
          </w:p>
        </w:tc>
        <w:tc>
          <w:tcPr/>
          <w:p>
            <w:pPr>
              <w:pStyle w:val="Compact"/>
              <w:jc w:val="right"/>
            </w:pPr>
            <w:r>
              <w:t xml:space="preserve">$23.41</w:t>
            </w:r>
          </w:p>
        </w:tc>
        <w:tc>
          <w:tcPr/>
          <w:p>
            <w:pPr>
              <w:pStyle w:val="Compact"/>
              <w:jc w:val="right"/>
            </w:pPr>
            <w:r>
              <w:rPr>
                <w:b/>
                <w:bCs/>
              </w:rPr>
              <w:t xml:space="preserve">+35%</w:t>
            </w:r>
          </w:p>
        </w:tc>
      </w:tr>
      <w:tr>
        <w:tc>
          <w:tcPr/>
          <w:p>
            <w:pPr>
              <w:pStyle w:val="Compact"/>
            </w:pPr>
            <w:r>
              <w:t xml:space="preserve">Diluted shares</w:t>
            </w:r>
          </w:p>
        </w:tc>
        <w:tc>
          <w:tcPr/>
          <w:p>
            <w:pPr>
              <w:pStyle w:val="Compact"/>
              <w:jc w:val="right"/>
            </w:pPr>
            <w:r>
              <w:t xml:space="preserve">Approximately 158M</w:t>
            </w:r>
          </w:p>
        </w:tc>
        <w:tc>
          <w:tcPr/>
          <w:p>
            <w:pPr>
              <w:pStyle w:val="Compact"/>
              <w:jc w:val="right"/>
            </w:pPr>
            <w:r>
              <w:t xml:space="preserve">157M</w:t>
            </w:r>
          </w:p>
        </w:tc>
        <w:tc>
          <w:tcPr/>
          <w:p>
            <w:pPr>
              <w:pStyle w:val="Compact"/>
              <w:jc w:val="right"/>
            </w:pPr>
            <w:r>
              <w:t xml:space="preserve">Roughly flat</w:t>
            </w:r>
          </w:p>
        </w:tc>
      </w:tr>
    </w:tbl>
    <w:p>
      <w:pPr>
        <w:pStyle w:val="BodyText"/>
      </w:pPr>
      <w:r>
        <w:t xml:space="preserve">A July 6 FactSet snapshot cited by Barron’s put consensus EPS at</w:t>
      </w:r>
      <w:r>
        <w:t xml:space="preserve"> </w:t>
      </w:r>
      <w:r>
        <w:rPr>
          <w:b/>
          <w:bCs/>
        </w:rPr>
        <w:t xml:space="preserve">$33.80</w:t>
      </w:r>
      <w:r>
        <w:t xml:space="preserve">, already above management’s $33 high end. That estimate may have moved since then, but it illustrates the setup: the formal guidance range probably understates the actual bar.</w:t>
      </w:r>
    </w:p>
    <w:p>
      <w:pPr>
        <w:pStyle w:val="BodyText"/>
      </w:pPr>
      <w:r>
        <w:t xml:space="preserve">Management also set a very high precedent last quarter:</w:t>
      </w:r>
    </w:p>
    <w:p>
      <w:pPr>
        <w:pStyle w:val="Compact"/>
        <w:numPr>
          <w:ilvl w:val="0"/>
          <w:numId w:val="1002"/>
        </w:numPr>
      </w:pPr>
      <w:r>
        <w:t xml:space="preserve">Revenue of $5.95 billion beat the prior midpoint by approximately</w:t>
      </w:r>
      <w:r>
        <w:t xml:space="preserve"> </w:t>
      </w:r>
      <w:r>
        <w:rPr>
          <w:b/>
          <w:bCs/>
        </w:rPr>
        <w:t xml:space="preserve">29%</w:t>
      </w:r>
      <w:r>
        <w:t xml:space="preserve">.</w:t>
      </w:r>
    </w:p>
    <w:p>
      <w:pPr>
        <w:pStyle w:val="Compact"/>
        <w:numPr>
          <w:ilvl w:val="0"/>
          <w:numId w:val="1002"/>
        </w:numPr>
      </w:pPr>
      <w:r>
        <w:t xml:space="preserve">Gross margin of 78.4% exceeded the 65%–67% outlook by</w:t>
      </w:r>
      <w:r>
        <w:t xml:space="preserve"> </w:t>
      </w:r>
      <w:r>
        <w:rPr>
          <w:b/>
          <w:bCs/>
        </w:rPr>
        <w:t xml:space="preserve">1,240 basis points</w:t>
      </w:r>
      <w:r>
        <w:t xml:space="preserve">.</w:t>
      </w:r>
    </w:p>
    <w:p>
      <w:pPr>
        <w:pStyle w:val="Compact"/>
        <w:numPr>
          <w:ilvl w:val="0"/>
          <w:numId w:val="1002"/>
        </w:numPr>
      </w:pPr>
      <w:r>
        <w:t xml:space="preserve">Non-GAAP EPS of $23.41 was roughly</w:t>
      </w:r>
      <w:r>
        <w:t xml:space="preserve"> </w:t>
      </w:r>
      <w:r>
        <w:rPr>
          <w:b/>
          <w:bCs/>
        </w:rPr>
        <w:t xml:space="preserve">80% above</w:t>
      </w:r>
      <w:r>
        <w:t xml:space="preserve"> </w:t>
      </w:r>
      <w:r>
        <w:t xml:space="preserve">the $13 midpoint.</w:t>
      </w:r>
    </w:p>
    <w:p>
      <w:pPr>
        <w:pStyle w:val="FirstParagraph"/>
      </w:pPr>
      <w:r>
        <w:t xml:space="preserve">After that magnitude of upside, investors are unlikely to reward a small beat.</w:t>
      </w:r>
    </w:p>
    <w:p>
      <w:r>
        <w:pict>
          <v:rect style="width:0;height:1.5pt" o:hralign="center" o:hrstd="t" o:hr="t"/>
        </w:pict>
      </w:r>
    </w:p>
    <w:bookmarkEnd w:id="10"/>
    <w:bookmarkEnd w:id="11"/>
    <w:bookmarkStart w:id="12" w:name="the-five-issues-that-matter-most"/>
    <w:p>
      <w:pPr>
        <w:pStyle w:val="Heading2"/>
      </w:pPr>
      <w:r>
        <w:t xml:space="preserve">The five issues that matter most</w:t>
      </w:r>
    </w:p>
    <w:bookmarkEnd w:id="12"/>
    <w:bookmarkStart w:id="14" w:name="Xa36661de17c15c1f5835adf2ab98187e27cd725"/>
    <w:p>
      <w:pPr>
        <w:pStyle w:val="Heading2"/>
      </w:pPr>
      <w:r>
        <w:t xml:space="preserve">1. Can an 80% NAND gross margin persist?</w:t>
      </w:r>
    </w:p>
    <w:p>
      <w:pPr>
        <w:pStyle w:val="FirstParagraph"/>
      </w:pPr>
      <w:r>
        <w:t xml:space="preserve">Fiscal third-quarter non-GAAP gross margin rose from 51.1% to</w:t>
      </w:r>
      <w:r>
        <w:t xml:space="preserve"> </w:t>
      </w:r>
      <w:r>
        <w:rPr>
          <w:b/>
          <w:bCs/>
        </w:rPr>
        <w:t xml:space="preserve">78.4% sequentially</w:t>
      </w:r>
      <w:r>
        <w:t xml:space="preserve">, and management guided to</w:t>
      </w:r>
      <w:r>
        <w:t xml:space="preserve"> </w:t>
      </w:r>
      <w:r>
        <w:rPr>
          <w:b/>
          <w:bCs/>
        </w:rPr>
        <w:t xml:space="preserve">79%–81%</w:t>
      </w:r>
      <w:r>
        <w:t xml:space="preserve"> </w:t>
      </w:r>
      <w:r>
        <w:t xml:space="preserve">for the fourth quarter. Those are remarkable margins for a historically cyclical memory business.</w:t>
      </w:r>
    </w:p>
    <w:p>
      <w:pPr>
        <w:pStyle w:val="BodyText"/>
      </w:pPr>
      <w:r>
        <w:t xml:space="preserve">The third-quarter filing shows how strongly pricing contributed:</w:t>
      </w:r>
    </w:p>
    <w:p>
      <w:pPr>
        <w:pStyle w:val="Compact"/>
        <w:numPr>
          <w:ilvl w:val="0"/>
          <w:numId w:val="1003"/>
        </w:numPr>
      </w:pPr>
      <w:r>
        <w:t xml:space="preserve">Total revenue increased 251% year over year.</w:t>
      </w:r>
    </w:p>
    <w:p>
      <w:pPr>
        <w:pStyle w:val="Compact"/>
        <w:numPr>
          <w:ilvl w:val="0"/>
          <w:numId w:val="1003"/>
        </w:numPr>
      </w:pPr>
      <w:r>
        <w:t xml:space="preserve">Exabytes sold were flat.</w:t>
      </w:r>
    </w:p>
    <w:p>
      <w:pPr>
        <w:pStyle w:val="Compact"/>
        <w:numPr>
          <w:ilvl w:val="0"/>
          <w:numId w:val="1003"/>
        </w:numPr>
      </w:pPr>
      <w:r>
        <w:t xml:space="preserve">Average selling price per gigabyte increased 248%.</w:t>
      </w:r>
    </w:p>
    <w:p>
      <w:pPr>
        <w:pStyle w:val="Compact"/>
        <w:numPr>
          <w:ilvl w:val="0"/>
          <w:numId w:val="1003"/>
        </w:numPr>
      </w:pPr>
      <w:r>
        <w:t xml:space="preserve">Edge exabytes declined 10%, but Edge ASP per gigabyte increased 343%.</w:t>
      </w:r>
    </w:p>
    <w:p>
      <w:pPr>
        <w:pStyle w:val="Compact"/>
        <w:numPr>
          <w:ilvl w:val="0"/>
          <w:numId w:val="1003"/>
        </w:numPr>
      </w:pPr>
      <w:r>
        <w:t xml:space="preserve">Consumer exabytes declined 40%, but Consumer ASP per gigabyte increased 139%.</w:t>
      </w:r>
    </w:p>
    <w:p>
      <w:pPr>
        <w:pStyle w:val="FirstParagraph"/>
      </w:pPr>
      <w:r>
        <w:t xml:space="preserve">That is excellent near-term earnings leverage, but it also explains investor skepticism. Much of the profit expansion came from price and mix rather than broad unit growth.</w:t>
      </w:r>
    </w:p>
    <w:bookmarkStart w:id="13" w:name="what-investors-need-to-hear"/>
    <w:p>
      <w:pPr>
        <w:pStyle w:val="Heading3"/>
      </w:pPr>
      <w:r>
        <w:t xml:space="preserve">What investors need to hear</w:t>
      </w:r>
    </w:p>
    <w:p>
      <w:pPr>
        <w:pStyle w:val="Compact"/>
        <w:numPr>
          <w:ilvl w:val="0"/>
          <w:numId w:val="1004"/>
        </w:numPr>
      </w:pPr>
      <w:r>
        <w:t xml:space="preserve">A credible fiscal 2027 gross-margin framework</w:t>
      </w:r>
    </w:p>
    <w:p>
      <w:pPr>
        <w:pStyle w:val="Compact"/>
        <w:numPr>
          <w:ilvl w:val="0"/>
          <w:numId w:val="1004"/>
        </w:numPr>
      </w:pPr>
      <w:r>
        <w:t xml:space="preserve">How much of current pricing is protected by contracts</w:t>
      </w:r>
    </w:p>
    <w:p>
      <w:pPr>
        <w:pStyle w:val="Compact"/>
        <w:numPr>
          <w:ilvl w:val="0"/>
          <w:numId w:val="1004"/>
        </w:numPr>
      </w:pPr>
      <w:r>
        <w:t xml:space="preserve">Whether cost reductions from BiCS8 can offset eventual pricing normalization</w:t>
      </w:r>
    </w:p>
    <w:p>
      <w:pPr>
        <w:pStyle w:val="Compact"/>
        <w:numPr>
          <w:ilvl w:val="0"/>
          <w:numId w:val="1004"/>
        </w:numPr>
      </w:pPr>
      <w:r>
        <w:t xml:space="preserve">Whether management still considers fourth-quarter-level economics sustainable</w:t>
      </w:r>
    </w:p>
    <w:p>
      <w:pPr>
        <w:pStyle w:val="Compact"/>
        <w:numPr>
          <w:ilvl w:val="0"/>
          <w:numId w:val="1004"/>
        </w:numPr>
      </w:pPr>
      <w:r>
        <w:t xml:space="preserve">How margins differ among datacenter, Edge and Consumer products</w:t>
      </w:r>
    </w:p>
    <w:p>
      <w:pPr>
        <w:pStyle w:val="FirstParagraph"/>
      </w:pPr>
      <w:r>
        <w:t xml:space="preserve">A fourth-quarter margin above 81% would be positive, but the stock will likely react more to the next-quarter and fiscal 2027 margin outlook.</w:t>
      </w:r>
    </w:p>
    <w:p>
      <w:r>
        <w:pict>
          <v:rect style="width:0;height:1.5pt" o:hralign="center" o:hrstd="t" o:hr="t"/>
        </w:pict>
      </w:r>
    </w:p>
    <w:bookmarkEnd w:id="13"/>
    <w:bookmarkEnd w:id="14"/>
    <w:bookmarkStart w:id="16" w:name="X4e3dacb72b16505bed9e35812b3024bef00cb20"/>
    <w:p>
      <w:pPr>
        <w:pStyle w:val="Heading2"/>
      </w:pPr>
      <w:r>
        <w:t xml:space="preserve">2. The multiyear agreements need another material update</w:t>
      </w:r>
    </w:p>
    <w:p>
      <w:pPr>
        <w:pStyle w:val="FirstParagraph"/>
      </w:pPr>
      <w:r>
        <w:t xml:space="preserve">Sandisk’s “new business models,” or NBMs, are central to management’s case that the company should no longer be valued as a traditional NAND-cycle exposure.</w:t>
      </w:r>
    </w:p>
    <w:p>
      <w:pPr>
        <w:pStyle w:val="BodyText"/>
      </w:pPr>
      <w:r>
        <w:t xml:space="preserve">At the last report:</w:t>
      </w:r>
    </w:p>
    <w:p>
      <w:pPr>
        <w:pStyle w:val="Compact"/>
        <w:numPr>
          <w:ilvl w:val="0"/>
          <w:numId w:val="1005"/>
        </w:numPr>
      </w:pPr>
      <w:r>
        <w:t xml:space="preserve">Sandisk had signed</w:t>
      </w:r>
      <w:r>
        <w:t xml:space="preserve"> </w:t>
      </w:r>
      <w:r>
        <w:rPr>
          <w:b/>
          <w:bCs/>
        </w:rPr>
        <w:t xml:space="preserve">five</w:t>
      </w:r>
      <w:r>
        <w:t xml:space="preserve"> </w:t>
      </w:r>
      <w:r>
        <w:t xml:space="preserve">multiyear agreements.</w:t>
      </w:r>
    </w:p>
    <w:p>
      <w:pPr>
        <w:pStyle w:val="Compact"/>
        <w:numPr>
          <w:ilvl w:val="0"/>
          <w:numId w:val="1005"/>
        </w:numPr>
      </w:pPr>
      <w:r>
        <w:t xml:space="preserve">Three signed before quarter-end produced</w:t>
      </w:r>
      <w:r>
        <w:t xml:space="preserve"> </w:t>
      </w:r>
      <w:r>
        <w:rPr>
          <w:b/>
          <w:bCs/>
        </w:rPr>
        <w:t xml:space="preserve">$41.6 billion of remaining performance obligations</w:t>
      </w:r>
      <w:r>
        <w:t xml:space="preserve">.</w:t>
      </w:r>
    </w:p>
    <w:p>
      <w:pPr>
        <w:pStyle w:val="Compact"/>
        <w:numPr>
          <w:ilvl w:val="0"/>
          <w:numId w:val="1005"/>
        </w:numPr>
      </w:pPr>
      <w:r>
        <w:t xml:space="preserve">Approximately 15% of those obligations were expected to become revenue within 12 months.</w:t>
      </w:r>
    </w:p>
    <w:p>
      <w:pPr>
        <w:pStyle w:val="Compact"/>
        <w:numPr>
          <w:ilvl w:val="0"/>
          <w:numId w:val="1005"/>
        </w:numPr>
      </w:pPr>
      <w:r>
        <w:t xml:space="preserve">The five agreements carried more than</w:t>
      </w:r>
      <w:r>
        <w:t xml:space="preserve"> </w:t>
      </w:r>
      <w:r>
        <w:rPr>
          <w:b/>
          <w:bCs/>
        </w:rPr>
        <w:t xml:space="preserve">$11 billion of financial guarantees</w:t>
      </w:r>
      <w:r>
        <w:t xml:space="preserve">.</w:t>
      </w:r>
    </w:p>
    <w:p>
      <w:pPr>
        <w:pStyle w:val="Compact"/>
        <w:numPr>
          <w:ilvl w:val="0"/>
          <w:numId w:val="1005"/>
        </w:numPr>
      </w:pPr>
      <w:r>
        <w:t xml:space="preserve">They covered more than one-third of expected fiscal 2027 bit shipments.</w:t>
      </w:r>
    </w:p>
    <w:p>
      <w:pPr>
        <w:pStyle w:val="Compact"/>
        <w:numPr>
          <w:ilvl w:val="0"/>
          <w:numId w:val="1005"/>
        </w:numPr>
      </w:pPr>
      <w:r>
        <w:t xml:space="preserve">Management said coverage could eventually exceed 50%.</w:t>
      </w:r>
    </w:p>
    <w:p>
      <w:pPr>
        <w:pStyle w:val="Compact"/>
        <w:numPr>
          <w:ilvl w:val="0"/>
          <w:numId w:val="1005"/>
        </w:numPr>
      </w:pPr>
      <w:r>
        <w:t xml:space="preserve">The longest contract extended to five years.</w:t>
      </w:r>
    </w:p>
    <w:p>
      <w:pPr>
        <w:pStyle w:val="Compact"/>
        <w:numPr>
          <w:ilvl w:val="0"/>
          <w:numId w:val="1005"/>
        </w:numPr>
      </w:pPr>
      <w:r>
        <w:t xml:space="preserve">Pricing included both fixed and variable components, with near-term pricing generally more fixed.</w:t>
      </w:r>
    </w:p>
    <w:p>
      <w:pPr>
        <w:pStyle w:val="FirstParagraph"/>
      </w:pPr>
      <w:r>
        <w:t xml:space="preserve">The quarter should include a substantially higher RPO figure because the prior $41.6 billion excluded two agreements signed after the fiscal third-quarter close.</w:t>
      </w:r>
    </w:p>
    <w:bookmarkStart w:id="15" w:name="key-questions"/>
    <w:p>
      <w:pPr>
        <w:pStyle w:val="Heading3"/>
      </w:pPr>
      <w:r>
        <w:t xml:space="preserve">Key questions</w:t>
      </w:r>
    </w:p>
    <w:p>
      <w:pPr>
        <w:pStyle w:val="Compact"/>
        <w:numPr>
          <w:ilvl w:val="0"/>
          <w:numId w:val="1006"/>
        </w:numPr>
      </w:pPr>
      <w:r>
        <w:t xml:space="preserve">How many NBMs have now been signed?</w:t>
      </w:r>
    </w:p>
    <w:p>
      <w:pPr>
        <w:pStyle w:val="Compact"/>
        <w:numPr>
          <w:ilvl w:val="0"/>
          <w:numId w:val="1006"/>
        </w:numPr>
      </w:pPr>
      <w:r>
        <w:t xml:space="preserve">What is the updated RPO?</w:t>
      </w:r>
    </w:p>
    <w:p>
      <w:pPr>
        <w:pStyle w:val="Compact"/>
        <w:numPr>
          <w:ilvl w:val="0"/>
          <w:numId w:val="1006"/>
        </w:numPr>
      </w:pPr>
      <w:r>
        <w:t xml:space="preserve">What percentage of fiscal 2027 bits is committed?</w:t>
      </w:r>
    </w:p>
    <w:p>
      <w:pPr>
        <w:pStyle w:val="Compact"/>
        <w:numPr>
          <w:ilvl w:val="0"/>
          <w:numId w:val="1006"/>
        </w:numPr>
      </w:pPr>
      <w:r>
        <w:t xml:space="preserve">Have commitments moved above 50%?</w:t>
      </w:r>
    </w:p>
    <w:p>
      <w:pPr>
        <w:pStyle w:val="Compact"/>
        <w:numPr>
          <w:ilvl w:val="0"/>
          <w:numId w:val="1006"/>
        </w:numPr>
      </w:pPr>
      <w:r>
        <w:t xml:space="preserve">Are new agreements concentrated in datacenter, or are Edge customers participating?</w:t>
      </w:r>
    </w:p>
    <w:p>
      <w:pPr>
        <w:pStyle w:val="Compact"/>
        <w:numPr>
          <w:ilvl w:val="0"/>
          <w:numId w:val="1006"/>
        </w:numPr>
      </w:pPr>
      <w:r>
        <w:t xml:space="preserve">Are contracted margins still comparable to fiscal fourth-quarter guidance?</w:t>
      </w:r>
    </w:p>
    <w:p>
      <w:pPr>
        <w:pStyle w:val="Compact"/>
        <w:numPr>
          <w:ilvl w:val="0"/>
          <w:numId w:val="1006"/>
        </w:numPr>
      </w:pPr>
      <w:r>
        <w:t xml:space="preserve">How much of future pricing is fixed versus market-linked?</w:t>
      </w:r>
    </w:p>
    <w:p>
      <w:pPr>
        <w:pStyle w:val="Compact"/>
        <w:numPr>
          <w:ilvl w:val="0"/>
          <w:numId w:val="1006"/>
        </w:numPr>
      </w:pPr>
      <w:r>
        <w:t xml:space="preserve">Have any customers already increased their commitments?</w:t>
      </w:r>
    </w:p>
    <w:p>
      <w:pPr>
        <w:pStyle w:val="FirstParagraph"/>
      </w:pPr>
      <w:r>
        <w:t xml:space="preserve">This disclosure may be the single most important factor for the stock. A strong increase would support the argument that current earnings are becoming contractually durable. Limited progress would reinforce the view that the model remains exposed to spot pricing.</w:t>
      </w:r>
    </w:p>
    <w:p>
      <w:pPr>
        <w:pStyle w:val="BodyText"/>
      </w:pPr>
      <w:r>
        <w:t xml:space="preserve">There is also an execution risk: Sandisk must deliver substantial volumes over multiple years. Supply shortfalls, yield problems or specification issues could result in penalties or reduced commitments, while customer guarantees may not fully compensate Sandisk for every potential breach.</w:t>
      </w:r>
    </w:p>
    <w:p>
      <w:r>
        <w:pict>
          <v:rect style="width:0;height:1.5pt" o:hralign="center" o:hrstd="t" o:hr="t"/>
        </w:pict>
      </w:r>
    </w:p>
    <w:bookmarkEnd w:id="15"/>
    <w:bookmarkEnd w:id="16"/>
    <w:bookmarkStart w:id="18" w:name="Xe534bcaba14c229adb883237f4d80f31263f29d"/>
    <w:p>
      <w:pPr>
        <w:pStyle w:val="Heading2"/>
      </w:pPr>
      <w:r>
        <w:t xml:space="preserve">3. Datacenter growth and the Stargate ramp</w:t>
      </w:r>
    </w:p>
    <w:p>
      <w:pPr>
        <w:pStyle w:val="FirstParagraph"/>
      </w:pPr>
      <w:r>
        <w:t xml:space="preserve">Datacenter was the highlight of fiscal Q3:</w:t>
      </w:r>
    </w:p>
    <w:p>
      <w:pPr>
        <w:pStyle w:val="Compact"/>
        <w:numPr>
          <w:ilvl w:val="0"/>
          <w:numId w:val="1007"/>
        </w:numPr>
      </w:pPr>
      <w:r>
        <w:t xml:space="preserve">Revenue increased</w:t>
      </w:r>
      <w:r>
        <w:t xml:space="preserve"> </w:t>
      </w:r>
      <w:r>
        <w:rPr>
          <w:b/>
          <w:bCs/>
        </w:rPr>
        <w:t xml:space="preserve">233% sequentially</w:t>
      </w:r>
      <w:r>
        <w:t xml:space="preserve"> </w:t>
      </w:r>
      <w:r>
        <w:t xml:space="preserve">to $1.47 billion.</w:t>
      </w:r>
    </w:p>
    <w:p>
      <w:pPr>
        <w:pStyle w:val="Compact"/>
        <w:numPr>
          <w:ilvl w:val="0"/>
          <w:numId w:val="1007"/>
        </w:numPr>
      </w:pPr>
      <w:r>
        <w:t xml:space="preserve">It represented roughly</w:t>
      </w:r>
      <w:r>
        <w:t xml:space="preserve"> </w:t>
      </w:r>
      <w:r>
        <w:rPr>
          <w:b/>
          <w:bCs/>
        </w:rPr>
        <w:t xml:space="preserve">25% of total revenue</w:t>
      </w:r>
      <w:r>
        <w:t xml:space="preserve">.</w:t>
      </w:r>
    </w:p>
    <w:p>
      <w:pPr>
        <w:pStyle w:val="Compact"/>
        <w:numPr>
          <w:ilvl w:val="0"/>
          <w:numId w:val="1007"/>
        </w:numPr>
      </w:pPr>
      <w:r>
        <w:t xml:space="preserve">Growth was driven primarily by high-performance TLC enterprise SSDs.</w:t>
      </w:r>
    </w:p>
    <w:p>
      <w:pPr>
        <w:pStyle w:val="Compact"/>
        <w:numPr>
          <w:ilvl w:val="0"/>
          <w:numId w:val="1007"/>
        </w:numPr>
      </w:pPr>
      <w:r>
        <w:t xml:space="preserve">Management expected its BiCS8 QLC</w:t>
      </w:r>
      <w:r>
        <w:t xml:space="preserve"> </w:t>
      </w:r>
      <w:r>
        <w:rPr>
          <w:b/>
          <w:bCs/>
        </w:rPr>
        <w:t xml:space="preserve">Stargate</w:t>
      </w:r>
      <w:r>
        <w:t xml:space="preserve"> </w:t>
      </w:r>
      <w:r>
        <w:t xml:space="preserve">products to begin generating revenue in Q4.</w:t>
      </w:r>
    </w:p>
    <w:p>
      <w:pPr>
        <w:pStyle w:val="FirstParagraph"/>
      </w:pPr>
      <w:r>
        <w:t xml:space="preserve">Stargate matters because it broadens Sandisk’s enterprise portfolio from performance-oriented TLC drives into high-capacity QLC storage. Management has said the product had been qualifying with major customers for more than a year.</w:t>
      </w:r>
    </w:p>
    <w:bookmarkStart w:id="17" w:name="what-would-constitute-a-strong-update"/>
    <w:p>
      <w:pPr>
        <w:pStyle w:val="Heading3"/>
      </w:pPr>
      <w:r>
        <w:t xml:space="preserve">What would constitute a strong update</w:t>
      </w:r>
    </w:p>
    <w:p>
      <w:pPr>
        <w:pStyle w:val="Compact"/>
        <w:numPr>
          <w:ilvl w:val="0"/>
          <w:numId w:val="1008"/>
        </w:numPr>
      </w:pPr>
      <w:r>
        <w:t xml:space="preserve">Stargate revenue shipped on schedule</w:t>
      </w:r>
    </w:p>
    <w:p>
      <w:pPr>
        <w:pStyle w:val="Compact"/>
        <w:numPr>
          <w:ilvl w:val="0"/>
          <w:numId w:val="1008"/>
        </w:numPr>
      </w:pPr>
      <w:r>
        <w:t xml:space="preserve">Multiple major customer qualifications</w:t>
      </w:r>
    </w:p>
    <w:p>
      <w:pPr>
        <w:pStyle w:val="Compact"/>
        <w:numPr>
          <w:ilvl w:val="0"/>
          <w:numId w:val="1008"/>
        </w:numPr>
      </w:pPr>
      <w:r>
        <w:t xml:space="preserve">A meaningful QLC revenue contribution expected in fiscal 2027</w:t>
      </w:r>
    </w:p>
    <w:p>
      <w:pPr>
        <w:pStyle w:val="Compact"/>
        <w:numPr>
          <w:ilvl w:val="0"/>
          <w:numId w:val="1008"/>
        </w:numPr>
      </w:pPr>
      <w:r>
        <w:t xml:space="preserve">Continued growth in TLC enterprise SSDs rather than substitution by QLC</w:t>
      </w:r>
    </w:p>
    <w:p>
      <w:pPr>
        <w:pStyle w:val="Compact"/>
        <w:numPr>
          <w:ilvl w:val="0"/>
          <w:numId w:val="1008"/>
        </w:numPr>
      </w:pPr>
      <w:r>
        <w:t xml:space="preserve">Datacenter mix rising materially above the Q3 level</w:t>
      </w:r>
    </w:p>
    <w:p>
      <w:pPr>
        <w:pStyle w:val="Compact"/>
        <w:numPr>
          <w:ilvl w:val="0"/>
          <w:numId w:val="1008"/>
        </w:numPr>
      </w:pPr>
      <w:r>
        <w:t xml:space="preserve">Evidence that AI inference, retrieval-augmented generation and KV-cache workloads are translating into actual orders</w:t>
      </w:r>
    </w:p>
    <w:p>
      <w:pPr>
        <w:pStyle w:val="FirstParagraph"/>
      </w:pPr>
      <w:r>
        <w:t xml:space="preserve">Investors should distinguish between broad AI commentary and measurable evidence: datacenter revenue, shipment growth, qualifications, committed capacity and customer contracts.</w:t>
      </w:r>
    </w:p>
    <w:p>
      <w:r>
        <w:pict>
          <v:rect style="width:0;height:1.5pt" o:hralign="center" o:hrstd="t" o:hr="t"/>
        </w:pict>
      </w:r>
    </w:p>
    <w:bookmarkEnd w:id="17"/>
    <w:bookmarkEnd w:id="18"/>
    <w:bookmarkStart w:id="20" w:name="Xb3544faf00cee7ffa757515b3e24896c8cc5a42"/>
    <w:p>
      <w:pPr>
        <w:pStyle w:val="Heading2"/>
      </w:pPr>
      <w:r>
        <w:t xml:space="preserve">4. Revenue quality: bits versus price</w:t>
      </w:r>
    </w:p>
    <w:p>
      <w:pPr>
        <w:pStyle w:val="FirstParagraph"/>
      </w:pPr>
      <w:r>
        <w:t xml:space="preserve">Management said Q4 revenue growth would come from both higher bit shipments and higher prices. The split is important.</w:t>
      </w:r>
    </w:p>
    <w:p>
      <w:pPr>
        <w:pStyle w:val="BodyText"/>
      </w:pPr>
      <w:r>
        <w:t xml:space="preserve">Sandisk deliberately reduced Q3 bit shipments by a high-teens percentage sequentially while building inventory for Stargate and the new customer agreements. Inventories ended Q3 at $2.24 billion, and days in inventory increased to 158.</w:t>
      </w:r>
    </w:p>
    <w:p>
      <w:pPr>
        <w:pStyle w:val="BodyText"/>
      </w:pPr>
      <w:r>
        <w:t xml:space="preserve">A healthy fourth-quarter outcome would show that inventory was converted into high-value revenue as planned.</w:t>
      </w:r>
    </w:p>
    <w:bookmarkStart w:id="19" w:name="watch-for"/>
    <w:p>
      <w:pPr>
        <w:pStyle w:val="Heading3"/>
      </w:pPr>
      <w:r>
        <w:t xml:space="preserve">Watch for</w:t>
      </w:r>
    </w:p>
    <w:p>
      <w:pPr>
        <w:pStyle w:val="Compact"/>
        <w:numPr>
          <w:ilvl w:val="0"/>
          <w:numId w:val="1009"/>
        </w:numPr>
      </w:pPr>
      <w:r>
        <w:t xml:space="preserve">Sequential bit-shipment growth</w:t>
      </w:r>
    </w:p>
    <w:p>
      <w:pPr>
        <w:pStyle w:val="Compact"/>
        <w:numPr>
          <w:ilvl w:val="0"/>
          <w:numId w:val="1009"/>
        </w:numPr>
      </w:pPr>
      <w:r>
        <w:t xml:space="preserve">ASP growth by end market</w:t>
      </w:r>
    </w:p>
    <w:p>
      <w:pPr>
        <w:pStyle w:val="Compact"/>
        <w:numPr>
          <w:ilvl w:val="0"/>
          <w:numId w:val="1009"/>
        </w:numPr>
      </w:pPr>
      <w:r>
        <w:t xml:space="preserve">Inventory dollars and days in inventory</w:t>
      </w:r>
    </w:p>
    <w:p>
      <w:pPr>
        <w:pStyle w:val="Compact"/>
        <w:numPr>
          <w:ilvl w:val="0"/>
          <w:numId w:val="1009"/>
        </w:numPr>
      </w:pPr>
      <w:r>
        <w:t xml:space="preserve">QLC versus TLC mix</w:t>
      </w:r>
    </w:p>
    <w:p>
      <w:pPr>
        <w:pStyle w:val="Compact"/>
        <w:numPr>
          <w:ilvl w:val="0"/>
          <w:numId w:val="1009"/>
        </w:numPr>
      </w:pPr>
      <w:r>
        <w:t xml:space="preserve">Whether Edge and Consumer unit demand stabilized</w:t>
      </w:r>
    </w:p>
    <w:p>
      <w:pPr>
        <w:pStyle w:val="Compact"/>
        <w:numPr>
          <w:ilvl w:val="0"/>
          <w:numId w:val="1009"/>
        </w:numPr>
      </w:pPr>
      <w:r>
        <w:t xml:space="preserve">Any inventory build extending into fiscal 2027</w:t>
      </w:r>
    </w:p>
    <w:p>
      <w:pPr>
        <w:pStyle w:val="FirstParagraph"/>
      </w:pPr>
      <w:r>
        <w:t xml:space="preserve">A quarter driven primarily by another pricing increase would still produce strong earnings, but it would provide less evidence of sustainable volume growth. A combination of higher bits, higher ASPs and lower inventory days would be much higher quality.</w:t>
      </w:r>
    </w:p>
    <w:p>
      <w:r>
        <w:pict>
          <v:rect style="width:0;height:1.5pt" o:hralign="center" o:hrstd="t" o:hr="t"/>
        </w:pict>
      </w:r>
    </w:p>
    <w:bookmarkEnd w:id="19"/>
    <w:bookmarkEnd w:id="20"/>
    <w:bookmarkStart w:id="22" w:name="X33032428c8697e66dbe35fa8814dbe9559aa2a3"/>
    <w:p>
      <w:pPr>
        <w:pStyle w:val="Heading2"/>
      </w:pPr>
      <w:r>
        <w:t xml:space="preserve">5. Cash generation and buyback execution</w:t>
      </w:r>
    </w:p>
    <w:p>
      <w:pPr>
        <w:pStyle w:val="FirstParagraph"/>
      </w:pPr>
      <w:r>
        <w:t xml:space="preserve">Sandisk generated</w:t>
      </w:r>
      <w:r>
        <w:t xml:space="preserve"> </w:t>
      </w:r>
      <w:r>
        <w:rPr>
          <w:b/>
          <w:bCs/>
        </w:rPr>
        <w:t xml:space="preserve">$2.96 billion of adjusted free cash flow</w:t>
      </w:r>
      <w:r>
        <w:t xml:space="preserve"> </w:t>
      </w:r>
      <w:r>
        <w:t xml:space="preserve">in Q3, equivalent to a 49.7% margin, and ended the quarter with:</w:t>
      </w:r>
    </w:p>
    <w:p>
      <w:pPr>
        <w:pStyle w:val="Compact"/>
        <w:numPr>
          <w:ilvl w:val="0"/>
          <w:numId w:val="1010"/>
        </w:numPr>
      </w:pPr>
      <w:r>
        <w:t xml:space="preserve">$3.74 billion in cash</w:t>
      </w:r>
    </w:p>
    <w:p>
      <w:pPr>
        <w:pStyle w:val="Compact"/>
        <w:numPr>
          <w:ilvl w:val="0"/>
          <w:numId w:val="1010"/>
        </w:numPr>
      </w:pPr>
      <w:r>
        <w:t xml:space="preserve">No term-loan debt</w:t>
      </w:r>
    </w:p>
    <w:p>
      <w:pPr>
        <w:pStyle w:val="Compact"/>
        <w:numPr>
          <w:ilvl w:val="0"/>
          <w:numId w:val="1010"/>
        </w:numPr>
      </w:pPr>
      <w:r>
        <w:t xml:space="preserve">An undrawn $1.5 billion revolver</w:t>
      </w:r>
    </w:p>
    <w:p>
      <w:pPr>
        <w:pStyle w:val="Compact"/>
        <w:numPr>
          <w:ilvl w:val="0"/>
          <w:numId w:val="1010"/>
        </w:numPr>
      </w:pPr>
      <w:r>
        <w:t xml:space="preserve">A newly authorized</w:t>
      </w:r>
      <w:r>
        <w:t xml:space="preserve"> </w:t>
      </w:r>
      <w:r>
        <w:rPr>
          <w:b/>
          <w:bCs/>
        </w:rPr>
        <w:t xml:space="preserve">$6 billion share-repurchase program</w:t>
      </w:r>
    </w:p>
    <w:p>
      <w:pPr>
        <w:pStyle w:val="FirstParagraph"/>
      </w:pPr>
      <w:r>
        <w:t xml:space="preserve">After quarter-end, Sandisk paid approximately</w:t>
      </w:r>
      <w:r>
        <w:t xml:space="preserve"> </w:t>
      </w:r>
      <w:r>
        <w:rPr>
          <w:b/>
          <w:bCs/>
        </w:rPr>
        <w:t xml:space="preserve">$972 million</w:t>
      </w:r>
      <w:r>
        <w:t xml:space="preserve"> </w:t>
      </w:r>
      <w:r>
        <w:t xml:space="preserve">for its strategic investment in Nanya, which also supports long-term DRAM sourcing for enterprise SSDs.</w:t>
      </w:r>
    </w:p>
    <w:p>
      <w:pPr>
        <w:pStyle w:val="BodyText"/>
      </w:pPr>
      <w:r>
        <w:t xml:space="preserve">The authorization does not require the company to buy stock, so investors should focus on actual execution.</w:t>
      </w:r>
    </w:p>
    <w:bookmarkStart w:id="21" w:name="important-disclosures"/>
    <w:p>
      <w:pPr>
        <w:pStyle w:val="Heading3"/>
      </w:pPr>
      <w:r>
        <w:t xml:space="preserve">Important disclosures</w:t>
      </w:r>
    </w:p>
    <w:p>
      <w:pPr>
        <w:pStyle w:val="Compact"/>
        <w:numPr>
          <w:ilvl w:val="0"/>
          <w:numId w:val="1011"/>
        </w:numPr>
      </w:pPr>
      <w:r>
        <w:t xml:space="preserve">Shares repurchased and average purchase price</w:t>
      </w:r>
    </w:p>
    <w:p>
      <w:pPr>
        <w:pStyle w:val="Compact"/>
        <w:numPr>
          <w:ilvl w:val="0"/>
          <w:numId w:val="1011"/>
        </w:numPr>
      </w:pPr>
      <w:r>
        <w:t xml:space="preserve">Remaining authorization</w:t>
      </w:r>
    </w:p>
    <w:p>
      <w:pPr>
        <w:pStyle w:val="Compact"/>
        <w:numPr>
          <w:ilvl w:val="0"/>
          <w:numId w:val="1011"/>
        </w:numPr>
      </w:pPr>
      <w:r>
        <w:t xml:space="preserve">Quarter-end cash after the Nanya investment</w:t>
      </w:r>
    </w:p>
    <w:p>
      <w:pPr>
        <w:pStyle w:val="Compact"/>
        <w:numPr>
          <w:ilvl w:val="0"/>
          <w:numId w:val="1011"/>
        </w:numPr>
      </w:pPr>
      <w:r>
        <w:t xml:space="preserve">Fiscal 2027 capital-expenditure expectations</w:t>
      </w:r>
    </w:p>
    <w:p>
      <w:pPr>
        <w:pStyle w:val="Compact"/>
        <w:numPr>
          <w:ilvl w:val="0"/>
          <w:numId w:val="1011"/>
        </w:numPr>
      </w:pPr>
      <w:r>
        <w:t xml:space="preserve">Diluted-share-count outlook</w:t>
      </w:r>
    </w:p>
    <w:p>
      <w:pPr>
        <w:pStyle w:val="Compact"/>
        <w:numPr>
          <w:ilvl w:val="0"/>
          <w:numId w:val="1011"/>
        </w:numPr>
      </w:pPr>
      <w:r>
        <w:t xml:space="preserve">Whether management intends to accelerate repurchases following the stock’s July decline</w:t>
      </w:r>
    </w:p>
    <w:p>
      <w:pPr>
        <w:pStyle w:val="FirstParagraph"/>
      </w:pPr>
      <w:r>
        <w:t xml:space="preserve">The original Q4 EPS guidance assumed approximately 158 million diluted shares, suggesting it may not have embedded a large buyback benefit. Material repurchases could therefore provide incremental EPS upside, although the underlying operating result remains more important.</w:t>
      </w:r>
    </w:p>
    <w:p>
      <w:r>
        <w:pict>
          <v:rect style="width:0;height:1.5pt" o:hralign="center" o:hrstd="t" o:hr="t"/>
        </w:pict>
      </w:r>
    </w:p>
    <w:bookmarkEnd w:id="21"/>
    <w:bookmarkEnd w:id="22"/>
    <w:bookmarkStart w:id="23" w:name="stock-setup"/>
    <w:p>
      <w:pPr>
        <w:pStyle w:val="Heading2"/>
      </w:pPr>
      <w:r>
        <w:t xml:space="preserve">Stock setup</w:t>
      </w:r>
    </w:p>
    <w:p>
      <w:pPr>
        <w:pStyle w:val="FirstParagraph"/>
      </w:pPr>
      <w:r>
        <w:t xml:space="preserve">SNDK closed at approximately</w:t>
      </w:r>
      <w:r>
        <w:t xml:space="preserve"> </w:t>
      </w:r>
      <w:r>
        <w:rPr>
          <w:b/>
          <w:bCs/>
        </w:rPr>
        <w:t xml:space="preserve">$1,427.66 on August 4</w:t>
      </w:r>
      <w:r>
        <w:t xml:space="preserve">.</w:t>
      </w:r>
    </w:p>
    <w:p>
      <w:pPr>
        <w:pStyle w:val="BodyText"/>
      </w:pPr>
      <w:r>
        <w:t xml:space="preserve">The shares have been exceptionally volatile:</w:t>
      </w:r>
    </w:p>
    <w:p>
      <w:pPr>
        <w:pStyle w:val="Compact"/>
        <w:numPr>
          <w:ilvl w:val="0"/>
          <w:numId w:val="1012"/>
        </w:numPr>
      </w:pPr>
      <w:r>
        <w:t xml:space="preserve">Approximately</w:t>
      </w:r>
      <w:r>
        <w:t xml:space="preserve"> </w:t>
      </w:r>
      <w:r>
        <w:rPr>
          <w:b/>
          <w:bCs/>
        </w:rPr>
        <w:t xml:space="preserve">39% below</w:t>
      </w:r>
      <w:r>
        <w:t xml:space="preserve"> </w:t>
      </w:r>
      <w:r>
        <w:t xml:space="preserve">the June 25 close of $2,335</w:t>
      </w:r>
    </w:p>
    <w:p>
      <w:pPr>
        <w:pStyle w:val="Compact"/>
        <w:numPr>
          <w:ilvl w:val="0"/>
          <w:numId w:val="1012"/>
        </w:numPr>
      </w:pPr>
      <w:r>
        <w:t xml:space="preserve">Still approximately</w:t>
      </w:r>
      <w:r>
        <w:t xml:space="preserve"> </w:t>
      </w:r>
      <w:r>
        <w:rPr>
          <w:b/>
          <w:bCs/>
        </w:rPr>
        <w:t xml:space="preserve">30% above</w:t>
      </w:r>
      <w:r>
        <w:t xml:space="preserve"> </w:t>
      </w:r>
      <w:r>
        <w:t xml:space="preserve">the April 30 close immediately before the prior earnings reaction</w:t>
      </w:r>
    </w:p>
    <w:p>
      <w:pPr>
        <w:pStyle w:val="Compact"/>
        <w:numPr>
          <w:ilvl w:val="0"/>
          <w:numId w:val="1012"/>
        </w:numPr>
      </w:pPr>
      <w:r>
        <w:t xml:space="preserve">Down sharply during July despite a roughly 26% rebound on July 30</w:t>
      </w:r>
    </w:p>
    <w:p>
      <w:pPr>
        <w:pStyle w:val="FirstParagraph"/>
      </w:pPr>
      <w:r>
        <w:t xml:space="preserve">This is a mixed setup. The fall from the June peak has reduced expectations, but the stock still reflects a major increase in Sandisk’s earnings power compared with the beginning of the prior quarter.</w:t>
      </w:r>
    </w:p>
    <w:p>
      <w:pPr>
        <w:pStyle w:val="BodyText"/>
      </w:pPr>
      <w:r>
        <w:t xml:space="preserve">The likely implication is that:</w:t>
      </w:r>
    </w:p>
    <w:p>
      <w:pPr>
        <w:pStyle w:val="Compact"/>
        <w:numPr>
          <w:ilvl w:val="0"/>
          <w:numId w:val="1013"/>
        </w:numPr>
      </w:pPr>
      <w:r>
        <w:rPr>
          <w:b/>
          <w:bCs/>
        </w:rPr>
        <w:t xml:space="preserve">A headline beat without strong guidance may not be sufficient.</w:t>
      </w:r>
    </w:p>
    <w:p>
      <w:pPr>
        <w:pStyle w:val="Compact"/>
        <w:numPr>
          <w:ilvl w:val="0"/>
          <w:numId w:val="1013"/>
        </w:numPr>
      </w:pPr>
      <w:r>
        <w:rPr>
          <w:b/>
          <w:bCs/>
        </w:rPr>
        <w:t xml:space="preserve">A strong fiscal 2027 framework and materially higher contracted demand could produce a favorable reaction.</w:t>
      </w:r>
    </w:p>
    <w:p>
      <w:pPr>
        <w:pStyle w:val="Compact"/>
        <w:numPr>
          <w:ilvl w:val="0"/>
          <w:numId w:val="1013"/>
        </w:numPr>
      </w:pPr>
      <w:r>
        <w:rPr>
          <w:b/>
          <w:bCs/>
        </w:rPr>
        <w:t xml:space="preserve">Any indication that 80% margins are temporary could outweigh a large Q4 beat.</w:t>
      </w:r>
    </w:p>
    <w:p>
      <w:r>
        <w:pict>
          <v:rect style="width:0;height:1.5pt" o:hralign="center" o:hrstd="t" o:hr="t"/>
        </w:pict>
      </w:r>
    </w:p>
    <w:bookmarkEnd w:id="23"/>
    <w:bookmarkStart w:id="24" w:name="bull-case"/>
    <w:p>
      <w:pPr>
        <w:pStyle w:val="Heading2"/>
      </w:pPr>
      <w:r>
        <w:t xml:space="preserve">Bull case</w:t>
      </w:r>
    </w:p>
    <w:p>
      <w:pPr>
        <w:pStyle w:val="FirstParagraph"/>
      </w:pPr>
      <w:r>
        <w:t xml:space="preserve">A bullish report would include most of the following:</w:t>
      </w:r>
    </w:p>
    <w:p>
      <w:pPr>
        <w:pStyle w:val="Compact"/>
        <w:numPr>
          <w:ilvl w:val="0"/>
          <w:numId w:val="1014"/>
        </w:numPr>
      </w:pPr>
      <w:r>
        <w:t xml:space="preserve">Revenue above $8.25 billion</w:t>
      </w:r>
    </w:p>
    <w:p>
      <w:pPr>
        <w:pStyle w:val="Compact"/>
        <w:numPr>
          <w:ilvl w:val="0"/>
          <w:numId w:val="1014"/>
        </w:numPr>
      </w:pPr>
      <w:r>
        <w:t xml:space="preserve">Gross margin above 81%</w:t>
      </w:r>
    </w:p>
    <w:p>
      <w:pPr>
        <w:pStyle w:val="Compact"/>
        <w:numPr>
          <w:ilvl w:val="0"/>
          <w:numId w:val="1014"/>
        </w:numPr>
      </w:pPr>
      <w:r>
        <w:t xml:space="preserve">EPS comfortably above the latest elevated expectations</w:t>
      </w:r>
    </w:p>
    <w:p>
      <w:pPr>
        <w:pStyle w:val="Compact"/>
        <w:numPr>
          <w:ilvl w:val="0"/>
          <w:numId w:val="1014"/>
        </w:numPr>
      </w:pPr>
      <w:r>
        <w:t xml:space="preserve">Strong sequential bit growth and inventory conversion</w:t>
      </w:r>
    </w:p>
    <w:p>
      <w:pPr>
        <w:pStyle w:val="Compact"/>
        <w:numPr>
          <w:ilvl w:val="0"/>
          <w:numId w:val="1014"/>
        </w:numPr>
      </w:pPr>
      <w:r>
        <w:t xml:space="preserve">A successful Stargate launch with multiple customer qualifications</w:t>
      </w:r>
    </w:p>
    <w:p>
      <w:pPr>
        <w:pStyle w:val="Compact"/>
        <w:numPr>
          <w:ilvl w:val="0"/>
          <w:numId w:val="1014"/>
        </w:numPr>
      </w:pPr>
      <w:r>
        <w:t xml:space="preserve">RPO well above $41.6 billion</w:t>
      </w:r>
    </w:p>
    <w:p>
      <w:pPr>
        <w:pStyle w:val="Compact"/>
        <w:numPr>
          <w:ilvl w:val="0"/>
          <w:numId w:val="1014"/>
        </w:numPr>
      </w:pPr>
      <w:r>
        <w:t xml:space="preserve">More than half of fiscal 2027 bits covered by NBMs</w:t>
      </w:r>
    </w:p>
    <w:p>
      <w:pPr>
        <w:pStyle w:val="Compact"/>
        <w:numPr>
          <w:ilvl w:val="0"/>
          <w:numId w:val="1014"/>
        </w:numPr>
      </w:pPr>
      <w:r>
        <w:t xml:space="preserve">Fiscal 2027 margins remaining near current levels</w:t>
      </w:r>
    </w:p>
    <w:p>
      <w:pPr>
        <w:pStyle w:val="Compact"/>
        <w:numPr>
          <w:ilvl w:val="0"/>
          <w:numId w:val="1014"/>
        </w:numPr>
      </w:pPr>
      <w:r>
        <w:t xml:space="preserve">Material share repurchases</w:t>
      </w:r>
    </w:p>
    <w:p>
      <w:pPr>
        <w:pStyle w:val="Compact"/>
        <w:numPr>
          <w:ilvl w:val="0"/>
          <w:numId w:val="1014"/>
        </w:numPr>
      </w:pPr>
      <w:r>
        <w:t xml:space="preserve">Continued strong free-cash-flow conversion</w:t>
      </w:r>
    </w:p>
    <w:p>
      <w:pPr>
        <w:pStyle w:val="FirstParagraph"/>
      </w:pPr>
      <w:r>
        <w:t xml:space="preserve">That combination would support management’s claim that Sandisk has achieved both a structural AI-driven demand increase and a less cyclical commercial model.</w:t>
      </w:r>
    </w:p>
    <w:bookmarkEnd w:id="24"/>
    <w:bookmarkStart w:id="25" w:name="bear-case"/>
    <w:p>
      <w:pPr>
        <w:pStyle w:val="Heading2"/>
      </w:pPr>
      <w:r>
        <w:t xml:space="preserve">Bear case</w:t>
      </w:r>
    </w:p>
    <w:p>
      <w:pPr>
        <w:pStyle w:val="FirstParagraph"/>
      </w:pPr>
      <w:r>
        <w:t xml:space="preserve">The downside scenario is not necessarily a Q4 miss. It could instead be:</w:t>
      </w:r>
    </w:p>
    <w:p>
      <w:pPr>
        <w:pStyle w:val="Compact"/>
        <w:numPr>
          <w:ilvl w:val="0"/>
          <w:numId w:val="1015"/>
        </w:numPr>
      </w:pPr>
      <w:r>
        <w:t xml:space="preserve">A Q4 beat accompanied by lower fiscal 2027 margins</w:t>
      </w:r>
    </w:p>
    <w:p>
      <w:pPr>
        <w:pStyle w:val="Compact"/>
        <w:numPr>
          <w:ilvl w:val="0"/>
          <w:numId w:val="1015"/>
        </w:numPr>
      </w:pPr>
      <w:r>
        <w:t xml:space="preserve">Revenue growth driven almost entirely by price</w:t>
      </w:r>
    </w:p>
    <w:p>
      <w:pPr>
        <w:pStyle w:val="Compact"/>
        <w:numPr>
          <w:ilvl w:val="0"/>
          <w:numId w:val="1015"/>
        </w:numPr>
      </w:pPr>
      <w:r>
        <w:t xml:space="preserve">Slower-than-expected Stargate qualifications</w:t>
      </w:r>
    </w:p>
    <w:p>
      <w:pPr>
        <w:pStyle w:val="Compact"/>
        <w:numPr>
          <w:ilvl w:val="0"/>
          <w:numId w:val="1015"/>
        </w:numPr>
      </w:pPr>
      <w:r>
        <w:t xml:space="preserve">Limited progress beyond the five announced contracts</w:t>
      </w:r>
    </w:p>
    <w:p>
      <w:pPr>
        <w:pStyle w:val="Compact"/>
        <w:numPr>
          <w:ilvl w:val="0"/>
          <w:numId w:val="1015"/>
        </w:numPr>
      </w:pPr>
      <w:r>
        <w:t xml:space="preserve">Contracted pricing that resets materially lower over time</w:t>
      </w:r>
    </w:p>
    <w:p>
      <w:pPr>
        <w:pStyle w:val="Compact"/>
        <w:numPr>
          <w:ilvl w:val="0"/>
          <w:numId w:val="1015"/>
        </w:numPr>
      </w:pPr>
      <w:r>
        <w:t xml:space="preserve">Elevated inventory or weaker Edge and Consumer demand</w:t>
      </w:r>
    </w:p>
    <w:p>
      <w:pPr>
        <w:pStyle w:val="Compact"/>
        <w:numPr>
          <w:ilvl w:val="0"/>
          <w:numId w:val="1015"/>
        </w:numPr>
      </w:pPr>
      <w:r>
        <w:t xml:space="preserve">Little or no buyback execution</w:t>
      </w:r>
    </w:p>
    <w:p>
      <w:pPr>
        <w:pStyle w:val="Compact"/>
        <w:numPr>
          <w:ilvl w:val="0"/>
          <w:numId w:val="1015"/>
        </w:numPr>
      </w:pPr>
      <w:r>
        <w:t xml:space="preserve">Management deferring nearly all long-term guidance to Investor Day</w:t>
      </w:r>
    </w:p>
    <w:p>
      <w:pPr>
        <w:pStyle w:val="FirstParagraph"/>
      </w:pPr>
      <w:r>
        <w:t xml:space="preserve">The biggest fundamental risk is that investors conclude current profitability is the peak of an unusually favorable NAND pricing cycle rather than a durable earnings base.</w:t>
      </w:r>
    </w:p>
    <w:p>
      <w:r>
        <w:pict>
          <v:rect style="width:0;height:1.5pt" o:hralign="center" o:hrstd="t" o:hr="t"/>
        </w:pict>
      </w:r>
    </w:p>
    <w:bookmarkEnd w:id="25"/>
    <w:bookmarkStart w:id="26" w:name="questions-management-should-answer"/>
    <w:p>
      <w:pPr>
        <w:pStyle w:val="Heading2"/>
      </w:pPr>
      <w:r>
        <w:t xml:space="preserve">Questions management should answer</w:t>
      </w:r>
    </w:p>
    <w:p>
      <w:pPr>
        <w:pStyle w:val="Compact"/>
        <w:numPr>
          <w:ilvl w:val="0"/>
          <w:numId w:val="1016"/>
        </w:numPr>
      </w:pPr>
      <w:r>
        <w:t xml:space="preserve">What is the updated RPO after including all five signed agreements and any new contracts?</w:t>
      </w:r>
    </w:p>
    <w:p>
      <w:pPr>
        <w:pStyle w:val="Compact"/>
        <w:numPr>
          <w:ilvl w:val="0"/>
          <w:numId w:val="1016"/>
        </w:numPr>
      </w:pPr>
      <w:r>
        <w:t xml:space="preserve">What percentage of fiscal 2027 bit supply is now under firm commitment?</w:t>
      </w:r>
    </w:p>
    <w:p>
      <w:pPr>
        <w:pStyle w:val="Compact"/>
        <w:numPr>
          <w:ilvl w:val="0"/>
          <w:numId w:val="1016"/>
        </w:numPr>
      </w:pPr>
      <w:r>
        <w:t xml:space="preserve">Are contracted gross margins still comparable to the fiscal Q4 range?</w:t>
      </w:r>
    </w:p>
    <w:p>
      <w:pPr>
        <w:pStyle w:val="Compact"/>
        <w:numPr>
          <w:ilvl w:val="0"/>
          <w:numId w:val="1016"/>
        </w:numPr>
      </w:pPr>
      <w:r>
        <w:t xml:space="preserve">How much Q4 growth came from bits, price and product mix, respectively?</w:t>
      </w:r>
    </w:p>
    <w:p>
      <w:pPr>
        <w:pStyle w:val="Compact"/>
        <w:numPr>
          <w:ilvl w:val="0"/>
          <w:numId w:val="1016"/>
        </w:numPr>
      </w:pPr>
      <w:r>
        <w:t xml:space="preserve">How much revenue did Stargate generate, and how many customers have qualified it?</w:t>
      </w:r>
    </w:p>
    <w:p>
      <w:pPr>
        <w:pStyle w:val="Compact"/>
        <w:numPr>
          <w:ilvl w:val="0"/>
          <w:numId w:val="1016"/>
        </w:numPr>
      </w:pPr>
      <w:r>
        <w:t xml:space="preserve">What gross-margin range should investors use for fiscal 2027?</w:t>
      </w:r>
    </w:p>
    <w:p>
      <w:pPr>
        <w:pStyle w:val="Compact"/>
        <w:numPr>
          <w:ilvl w:val="0"/>
          <w:numId w:val="1016"/>
        </w:numPr>
      </w:pPr>
      <w:r>
        <w:t xml:space="preserve">How should datacenter revenue and mix progress over the next four quarters?</w:t>
      </w:r>
    </w:p>
    <w:p>
      <w:pPr>
        <w:pStyle w:val="Compact"/>
        <w:numPr>
          <w:ilvl w:val="0"/>
          <w:numId w:val="1016"/>
        </w:numPr>
      </w:pPr>
      <w:r>
        <w:t xml:space="preserve">How much of the $6 billion repurchase authorization has been used?</w:t>
      </w:r>
    </w:p>
    <w:p>
      <w:pPr>
        <w:pStyle w:val="Compact"/>
        <w:numPr>
          <w:ilvl w:val="0"/>
          <w:numId w:val="1016"/>
        </w:numPr>
      </w:pPr>
      <w:r>
        <w:t xml:space="preserve">What is the expected fiscal 2027 capital intensity for BiCS8 conversions?</w:t>
      </w:r>
    </w:p>
    <w:p>
      <w:pPr>
        <w:pStyle w:val="Compact"/>
        <w:numPr>
          <w:ilvl w:val="0"/>
          <w:numId w:val="1016"/>
        </w:numPr>
      </w:pPr>
      <w:r>
        <w:t xml:space="preserve">How will the fiscal 2027 tax changes affect EPS and cash flow?</w:t>
      </w:r>
    </w:p>
    <w:p>
      <w:r>
        <w:pict>
          <v:rect style="width:0;height:1.5pt" o:hralign="center" o:hrstd="t" o:hr="t"/>
        </w:pict>
      </w:r>
    </w:p>
    <w:bookmarkEnd w:id="26"/>
    <w:bookmarkStart w:id="27" w:name="bottom-line"/>
    <w:p>
      <w:pPr>
        <w:pStyle w:val="Heading2"/>
      </w:pPr>
      <w:r>
        <w:t xml:space="preserve">Bottom line</w:t>
      </w:r>
    </w:p>
    <w:p>
      <w:pPr>
        <w:pStyle w:val="FirstParagraph"/>
      </w:pPr>
      <w:r>
        <w:t xml:space="preserve">Sandisk should deliver another exceptionally strong quarter; the real debate is what happens after it.</w:t>
      </w:r>
    </w:p>
    <w:p>
      <w:pPr>
        <w:pStyle w:val="BodyText"/>
      </w:pPr>
      <w:r>
        <w:t xml:space="preserve">The formal Q4 guidance is probably not the operative bar following the prior quarter’s enormous beat and subsequent upward estimate revisions. The report will be judged primarily on whether management can substantiate three claims:</w:t>
      </w:r>
    </w:p>
    <w:p>
      <w:pPr>
        <w:pStyle w:val="Compact"/>
        <w:numPr>
          <w:ilvl w:val="0"/>
          <w:numId w:val="1017"/>
        </w:numPr>
      </w:pPr>
      <w:r>
        <w:rPr>
          <w:b/>
          <w:bCs/>
        </w:rPr>
        <w:t xml:space="preserve">Current gross margins are sustainable</w:t>
      </w:r>
    </w:p>
    <w:p>
      <w:pPr>
        <w:pStyle w:val="Compact"/>
        <w:numPr>
          <w:ilvl w:val="0"/>
          <w:numId w:val="1017"/>
        </w:numPr>
      </w:pPr>
      <w:r>
        <w:rPr>
          <w:b/>
          <w:bCs/>
        </w:rPr>
        <w:t xml:space="preserve">Multiyear agreements have materially reduced cyclicality</w:t>
      </w:r>
    </w:p>
    <w:p>
      <w:pPr>
        <w:pStyle w:val="Compact"/>
        <w:numPr>
          <w:ilvl w:val="0"/>
          <w:numId w:val="1017"/>
        </w:numPr>
      </w:pPr>
      <w:r>
        <w:rPr>
          <w:b/>
          <w:bCs/>
        </w:rPr>
        <w:t xml:space="preserve">Datacenter and Stargate can drive volume growth beyond the pricing cycle</w:t>
      </w:r>
    </w:p>
    <w:p>
      <w:pPr>
        <w:pStyle w:val="FirstParagraph"/>
      </w:pPr>
      <w:r>
        <w:t xml:space="preserve">The cleanest positive signal would be a strong Q4 beat paired with materially higher RPO, increasing fiscal 2027 contract coverage and a forward gross-margin outlook that remains near current levels. Conversely, a strong quarter with cautious fiscal 2027 commentary would likely reinforce concerns that earnings are near a cyclical peak.</w:t>
      </w:r>
    </w:p>
    <w:p>
      <w:pPr>
        <w:pStyle w:val="BodyText"/>
      </w:pPr>
      <w:r>
        <w:rPr>
          <w:i/>
          <w:iCs/>
        </w:rPr>
        <w:t xml:space="preserve">Research based on Sandisk’s fiscal Q3 earnings call and Form 10-Q, its July 9 earnings-date announcement, recent market news and stock-price data.</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2026-08-05T00:59:52Z</dcterms:created>
  <dcterms:modified xsi:type="dcterms:W3CDTF">2026-08-05T00:59:52Z</dcterms:modified>
</cp:coreProperties>
</file>

<file path=docProps/custom.xml><?xml version="1.0" encoding="utf-8"?>
<Properties xmlns="http://schemas.openxmlformats.org/officeDocument/2006/custom-properties" xmlns:vt="http://schemas.openxmlformats.org/officeDocument/2006/docPropsVTypes"/>
</file>