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ndk-earnings-predictions--2026-08-05"/>
    <w:p>
      <w:pPr>
        <w:pStyle w:val="Heading1"/>
      </w:pPr>
      <w:r>
        <w:t xml:space="preserve">SNDK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~$8.50B vs. cons $8.39B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~$35.00 vs. cons $33.80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~81.6% vs. cons 80.4%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1Q27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~$9.45B vs. cons $9.15B (fiscal 1Q27)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1Q27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~$39.50 vs. cons $37.00 (fiscal 1Q27)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Business Model contracted revenue / RPO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~$55B RPO vs. cons $48B RPO (fiscal 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+17.0% (FOLLOW-THROUGH)</w:t>
            </w:r>
          </w:p>
        </w:tc>
        <w:tc>
          <w:tcPr/>
          <w:p>
            <w:pPr>
              <w:pStyle w:val="Compact"/>
            </w:pPr>
            <w:r>
              <w:t xml:space="preserve">Answer: day-1 residual ~12.0% vs. 5-day residual ~17.0%. A revenue, EPS, and margin beat paired with fiscal 1Q27 revenue/EPS above consensus should drive upward FY27 estimates; higher RPO and contracted-bit visibility would support durable-margin assumptions rather than leaving the result categorized as a one-quarter NAND-pricing peak.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2026-08-05T00:58:51Z</dcterms:created>
  <dcterms:modified xsi:type="dcterms:W3CDTF">2026-08-05T00:58:51Z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