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2be75c09f9522f1910c9c7ebf5b68944291ca0"/>
    <w:p>
      <w:pPr>
        <w:pStyle w:val="Heading1"/>
      </w:pPr>
      <w:r>
        <w:t xml:space="preserve">Sandisk (SNDK) Fiscal 4Q26 Earnings Preview</w:t>
      </w:r>
    </w:p>
    <w:p>
      <w:pPr>
        <w:pStyle w:val="BlockText"/>
      </w:pPr>
      <w:r>
        <w:rPr>
          <w:b/>
          <w:bCs/>
        </w:rPr>
        <w:t xml:space="preserve">Timing clarification:</w:t>
      </w:r>
      <w:r>
        <w:t xml:space="preserve"> </w:t>
      </w:r>
      <w:r>
        <w:t xml:space="preserve">Sandisk is scheduled to report</w:t>
      </w:r>
      <w:r>
        <w:t xml:space="preserve"> </w:t>
      </w:r>
      <w:r>
        <w:rPr>
          <w:b/>
          <w:bCs/>
        </w:rPr>
        <w:t xml:space="preserve">today, Wednesday, August 5, 2026</w:t>
      </w:r>
      <w:r>
        <w:t xml:space="preserve">, not tomorrow. Its earnings call is at</w:t>
      </w:r>
      <w:r>
        <w:t xml:space="preserve"> </w:t>
      </w:r>
      <w:r>
        <w:rPr>
          <w:b/>
          <w:bCs/>
        </w:rPr>
        <w:t xml:space="preserve">1:30 p.m. Pacific / 4:30 p.m. Eastern</w:t>
      </w:r>
      <w:r>
        <w:t xml:space="preserve">. The company will also host an</w:t>
      </w:r>
      <w:r>
        <w:t xml:space="preserve"> </w:t>
      </w:r>
      <w:r>
        <w:rPr>
          <w:b/>
          <w:bCs/>
        </w:rPr>
        <w:t xml:space="preserve">Investor Day on August 13</w:t>
      </w:r>
      <w:r>
        <w:t xml:space="preserve">.</w:t>
      </w:r>
    </w:p>
    <w:bookmarkStart w:id="9" w:name="X2a5f7f52e10fb234eaaadb0aa4436fc64a9cb26"/>
    <w:p>
      <w:pPr>
        <w:pStyle w:val="Heading2"/>
      </w:pPr>
      <w:r>
        <w:t xml:space="preserve">Investment setup: the question is no longer whether 4Q beats—it's whether the earnings power is durable</w:t>
      </w:r>
    </w:p>
    <w:p>
      <w:pPr>
        <w:pStyle w:val="FirstParagraph"/>
      </w:pPr>
      <w:r>
        <w:t xml:space="preserve">Sandisk enters fiscal 4Q26 following an extraordinary reset in its earnings profile. In fiscal 3Q, revenue nearly doubled sequentially to</w:t>
      </w:r>
      <w:r>
        <w:t xml:space="preserve"> </w:t>
      </w:r>
      <m:oMath>
        <m:r>
          <m:t>5.95</m:t>
        </m:r>
        <m:r>
          <m:t>b</m:t>
        </m:r>
        <m:r>
          <m:t>i</m:t>
        </m:r>
        <m:r>
          <m:t>l</m:t>
        </m:r>
        <m:r>
          <m:t>l</m:t>
        </m:r>
        <m:r>
          <m:t>i</m:t>
        </m:r>
        <m:r>
          <m:t>o</m:t>
        </m:r>
        <m:r>
          <m:t>n</m:t>
        </m:r>
        <m:r>
          <m:rPr>
            <m:sty m:val="p"/>
          </m:rPr>
          <m:t>*</m:t>
        </m:r>
        <m:r>
          <m:rPr>
            <m:sty m:val="p"/>
          </m:rPr>
          <m:t>*</m:t>
        </m:r>
        <m:r>
          <m:rPr>
            <m:sty m:val="p"/>
          </m:rPr>
          <m:t>,</m:t>
        </m:r>
        <m:r>
          <m:t>n</m:t>
        </m:r>
        <m:r>
          <m:t>o</m:t>
        </m:r>
        <m:r>
          <m:t>n</m:t>
        </m:r>
        <m:r>
          <m:rPr>
            <m:sty m:val="p"/>
          </m:rPr>
          <m:t>−</m:t>
        </m:r>
        <m:r>
          <m:t>G</m:t>
        </m:r>
        <m:r>
          <m:t>A</m:t>
        </m:r>
        <m:r>
          <m:t>A</m:t>
        </m:r>
        <m:r>
          <m:t>P</m:t>
        </m:r>
        <m:r>
          <m:t>g</m:t>
        </m:r>
        <m:r>
          <m:t>r</m:t>
        </m:r>
        <m:r>
          <m:t>o</m:t>
        </m:r>
        <m:r>
          <m:t>s</m:t>
        </m:r>
        <m:r>
          <m:t>s</m:t>
        </m:r>
        <m:r>
          <m:t>m</m:t>
        </m:r>
        <m:r>
          <m:t>a</m:t>
        </m:r>
        <m:r>
          <m:t>r</m:t>
        </m:r>
        <m:r>
          <m:t>g</m:t>
        </m:r>
        <m:r>
          <m:t>i</m:t>
        </m:r>
        <m:r>
          <m:t>n</m:t>
        </m:r>
        <m:r>
          <m:t>e</m:t>
        </m:r>
        <m:r>
          <m:t>x</m:t>
        </m:r>
        <m:r>
          <m:t>p</m:t>
        </m:r>
        <m:r>
          <m:t>a</m:t>
        </m:r>
        <m:r>
          <m:t>n</m:t>
        </m:r>
        <m:r>
          <m:t>d</m:t>
        </m:r>
        <m:r>
          <m:t>e</m:t>
        </m:r>
        <m:r>
          <m:t>d</m:t>
        </m:r>
        <m:r>
          <m:t>t</m:t>
        </m:r>
        <m:r>
          <m:t>o</m:t>
        </m:r>
        <m:r>
          <m:rPr>
            <m:sty m:val="p"/>
          </m:rPr>
          <m:t>*</m:t>
        </m:r>
        <m:r>
          <m:rPr>
            <m:sty m:val="p"/>
          </m:rPr>
          <m:t>*</m:t>
        </m:r>
        <m:r>
          <m:t>78.4</m:t>
        </m:r>
      </m:oMath>
      <w:r>
        <w:rPr>
          <w:b/>
          <w:bCs/>
        </w:rPr>
        <w:t xml:space="preserve">23.41</w:t>
      </w:r>
      <w:r>
        <w:t xml:space="preserve">—well above the company’s prior outlook. Management attributed the upside to NAND pricing, a shift toward higher-value customers and a sharp acceleration in data-center SSD demand.</w:t>
      </w:r>
    </w:p>
    <w:p>
      <w:pPr>
        <w:pStyle w:val="BodyText"/>
      </w:pPr>
      <w:r>
        <w:t xml:space="preserve">For 4Q, Sandisk guided to another step-up: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3Q26 actual</w:t>
            </w:r>
          </w:p>
        </w:tc>
        <w:tc>
          <w:tcPr/>
          <w:p>
            <w:pPr>
              <w:pStyle w:val="Compact"/>
              <w:jc w:val="right"/>
            </w:pPr>
            <w:r>
              <w:t xml:space="preserve">4Q26 company guide</w:t>
            </w:r>
          </w:p>
        </w:tc>
        <w:tc>
          <w:tcPr/>
          <w:p>
            <w:pPr>
              <w:pStyle w:val="Compact"/>
              <w:jc w:val="right"/>
            </w:pPr>
            <w:r>
              <w:t xml:space="preserve">Midpoint sequential change</w:t>
            </w:r>
          </w:p>
        </w:tc>
      </w:tr>
      <w:tr>
        <w:tc>
          <w:tcPr/>
          <w:p>
            <w:pPr>
              <w:pStyle w:val="Compact"/>
            </w:pPr>
            <w:r>
              <w:t xml:space="preserve">Revenue</w:t>
            </w:r>
          </w:p>
        </w:tc>
        <w:tc>
          <w:tcPr/>
          <w:p>
            <w:pPr>
              <w:pStyle w:val="Compact"/>
              <w:jc w:val="right"/>
            </w:pPr>
            <w:r>
              <w:t xml:space="preserve">$5.95B</w:t>
            </w:r>
          </w:p>
        </w:tc>
        <w:tc>
          <w:tcPr/>
          <w:p>
            <w:pPr>
              <w:pStyle w:val="Compact"/>
              <w:jc w:val="right"/>
            </w:pPr>
            <m:oMath>
              <m:r>
                <m:t>7.75</m:t>
              </m:r>
              <m:r>
                <m:t>B</m:t>
              </m:r>
              <m:r>
                <m:rPr>
                  <m:sty m:val="p"/>
                </m:rPr>
                <m:t>–</m:t>
              </m:r>
            </m:oMath>
            <w:r>
              <w:t xml:space="preserve">8.25B</w:t>
            </w:r>
          </w:p>
        </w:tc>
        <w:tc>
          <w:tcPr/>
          <w:p>
            <w:pPr>
              <w:pStyle w:val="Compact"/>
              <w:jc w:val="right"/>
            </w:pPr>
            <w:r>
              <w:rPr>
                <w:b/>
                <w:bCs/>
              </w:rPr>
              <w:t xml:space="preserve">+34%</w:t>
            </w:r>
          </w:p>
        </w:tc>
      </w:tr>
      <w:tr>
        <w:tc>
          <w:tcPr/>
          <w:p>
            <w:pPr>
              <w:pStyle w:val="Compact"/>
            </w:pPr>
            <w:r>
              <w:t xml:space="preserve">Non-GAAP gross margin</w:t>
            </w:r>
          </w:p>
        </w:tc>
        <w:tc>
          <w:tcPr/>
          <w:p>
            <w:pPr>
              <w:pStyle w:val="Compact"/>
              <w:jc w:val="right"/>
            </w:pPr>
            <w:r>
              <w:t xml:space="preserve">78.4%</w:t>
            </w:r>
          </w:p>
        </w:tc>
        <w:tc>
          <w:tcPr/>
          <w:p>
            <w:pPr>
              <w:pStyle w:val="Compact"/>
              <w:jc w:val="right"/>
            </w:pPr>
            <w:r>
              <w:t xml:space="preserve">79.0%–81.0%</w:t>
            </w:r>
          </w:p>
        </w:tc>
        <w:tc>
          <w:tcPr/>
          <w:p>
            <w:pPr>
              <w:pStyle w:val="Compact"/>
              <w:jc w:val="right"/>
            </w:pPr>
            <w:r>
              <w:rPr>
                <w:b/>
                <w:bCs/>
              </w:rPr>
              <w:t xml:space="preserve">+160 bps</w:t>
            </w:r>
          </w:p>
        </w:tc>
      </w:tr>
      <w:tr>
        <w:tc>
          <w:tcPr/>
          <w:p>
            <w:pPr>
              <w:pStyle w:val="Compact"/>
            </w:pPr>
            <w:r>
              <w:t xml:space="preserve">Non-GAAP operating expenses</w:t>
            </w:r>
          </w:p>
        </w:tc>
        <w:tc>
          <w:tcPr/>
          <w:p>
            <w:pPr>
              <w:pStyle w:val="Compact"/>
              <w:jc w:val="right"/>
            </w:pPr>
            <w:r>
              <w:t xml:space="preserve">$448M</w:t>
            </w:r>
          </w:p>
        </w:tc>
        <w:tc>
          <w:tcPr/>
          <w:p>
            <w:pPr>
              <w:pStyle w:val="Compact"/>
              <w:jc w:val="right"/>
            </w:pPr>
            <m:oMath>
              <m:r>
                <m:t>480</m:t>
              </m:r>
              <m:r>
                <m:t>M</m:t>
              </m:r>
              <m:r>
                <m:rPr>
                  <m:sty m:val="p"/>
                </m:rPr>
                <m:t>–</m:t>
              </m:r>
            </m:oMath>
            <w:r>
              <w:t xml:space="preserve">500M</w:t>
            </w:r>
          </w:p>
        </w:tc>
        <w:tc>
          <w:tcPr/>
          <w:p>
            <w:pPr>
              <w:pStyle w:val="Compact"/>
              <w:jc w:val="right"/>
            </w:pPr>
            <w:r>
              <w:t xml:space="preserve">+9%</w:t>
            </w:r>
          </w:p>
        </w:tc>
      </w:tr>
      <w:tr>
        <w:tc>
          <w:tcPr/>
          <w:p>
            <w:pPr>
              <w:pStyle w:val="Compact"/>
            </w:pPr>
            <w:r>
              <w:t xml:space="preserve">Non-GAAP EPS</w:t>
            </w:r>
          </w:p>
        </w:tc>
        <w:tc>
          <w:tcPr/>
          <w:p>
            <w:pPr>
              <w:pStyle w:val="Compact"/>
              <w:jc w:val="right"/>
            </w:pPr>
            <w:r>
              <w:t xml:space="preserve">$23.41</w:t>
            </w:r>
          </w:p>
        </w:tc>
        <w:tc>
          <w:tcPr/>
          <w:p>
            <w:pPr>
              <w:pStyle w:val="Compact"/>
              <w:jc w:val="right"/>
            </w:pPr>
            <m:oMath>
              <m:r>
                <m:t>30.00</m:t>
              </m:r>
              <m:r>
                <m:rPr>
                  <m:sty m:val="p"/>
                </m:rPr>
                <m:t>–</m:t>
              </m:r>
            </m:oMath>
            <w:r>
              <w:t xml:space="preserve">33.00</w:t>
            </w:r>
          </w:p>
        </w:tc>
        <w:tc>
          <w:tcPr/>
          <w:p>
            <w:pPr>
              <w:pStyle w:val="Compact"/>
              <w:jc w:val="right"/>
            </w:pPr>
            <w:r>
              <w:rPr>
                <w:b/>
                <w:bCs/>
              </w:rPr>
              <w:t xml:space="preserve">+35%</w:t>
            </w:r>
          </w:p>
        </w:tc>
      </w:tr>
    </w:tbl>
    <w:p>
      <w:pPr>
        <w:pStyle w:val="BodyText"/>
      </w:pPr>
      <w:r>
        <w:t xml:space="preserve">The immediate numerical bar is high, but the more important hurdle is qualitative: investors need confirmation that Sandisk can maintain pricing, expand data-center mix, convert long-term agreements into visible backlog, and provide a credible fiscal 2027 framework without signaling that current margins are simply a peak-cycle phenomenon.</w:t>
      </w:r>
    </w:p>
    <w:p>
      <w:pPr>
        <w:pStyle w:val="BodyText"/>
      </w:pPr>
      <w:r>
        <w:t xml:space="preserve">A July 6 press report cited consensus 4Q EPS of</w:t>
      </w:r>
      <w:r>
        <w:t xml:space="preserve"> </w:t>
      </w:r>
      <w:r>
        <w:rPr>
          <w:b/>
          <w:bCs/>
        </w:rPr>
        <w:t xml:space="preserve">$33.80</w:t>
      </w:r>
      <w:r>
        <w:t xml:space="preserve">, above the top end of Sandisk’s April guide. That means the relevant hurdle may be materially higher than “beating guidance,” particularly after the company’s history of substantial upside versus its own forecasts.</w:t>
      </w:r>
    </w:p>
    <w:bookmarkEnd w:id="9"/>
    <w:bookmarkStart w:id="12" w:name="what-matters-most-this-quarter"/>
    <w:p>
      <w:pPr>
        <w:pStyle w:val="Heading2"/>
      </w:pPr>
      <w:r>
        <w:t xml:space="preserve">What matters most this quarter</w:t>
      </w:r>
    </w:p>
    <w:bookmarkStart w:id="10" w:name="Xb17c041ffbe50f5c30ad12eec6ff23cb8ee9f4f"/>
    <w:p>
      <w:pPr>
        <w:pStyle w:val="Heading3"/>
      </w:pPr>
      <w:r>
        <w:t xml:space="preserve">1. Revenue and EPS versus an elevated, likely-moving buy-side bar</w:t>
      </w:r>
    </w:p>
    <w:p>
      <w:pPr>
        <w:pStyle w:val="FirstParagraph"/>
      </w:pPr>
      <w:r>
        <w:t xml:space="preserve">The guide midpoint implies approximately</w:t>
      </w:r>
      <w:r>
        <w:t xml:space="preserve"> </w:t>
      </w:r>
      <m:oMath>
        <m:r>
          <m:t>8.0</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31.50 of non-GAAP EPS</w:t>
      </w:r>
      <w:r>
        <w:t xml:space="preserve">. Based on the fiscal 3Q exit rate, a result merely near the midpoint would still represent exceptional execution. But the market will likely focus on:</w:t>
      </w:r>
    </w:p>
    <w:p>
      <w:pPr>
        <w:pStyle w:val="Compact"/>
        <w:numPr>
          <w:ilvl w:val="0"/>
          <w:numId w:val="1001"/>
        </w:numPr>
      </w:pPr>
      <w:r>
        <w:t xml:space="preserve">Whether revenue exceeds the</w:t>
      </w:r>
      <w:r>
        <w:t xml:space="preserve"> </w:t>
      </w:r>
      <w:r>
        <w:rPr>
          <w:b/>
          <w:bCs/>
        </w:rPr>
        <w:t xml:space="preserve">high end</w:t>
      </w:r>
      <w:r>
        <w:t xml:space="preserve"> </w:t>
      </w:r>
      <w:r>
        <w:t xml:space="preserve">of the $8.25 billion range;</w:t>
      </w:r>
    </w:p>
    <w:p>
      <w:pPr>
        <w:pStyle w:val="Compact"/>
        <w:numPr>
          <w:ilvl w:val="0"/>
          <w:numId w:val="1001"/>
        </w:numPr>
      </w:pPr>
      <w:r>
        <w:t xml:space="preserve">Whether EPS exceeds the</w:t>
      </w:r>
      <w:r>
        <w:t xml:space="preserve"> </w:t>
      </w:r>
      <m:oMath>
        <m:r>
          <m:t>33</m:t>
        </m:r>
        <m:r>
          <m:t>h</m:t>
        </m:r>
        <m:r>
          <m:t>i</m:t>
        </m:r>
        <m:r>
          <m:t>g</m:t>
        </m:r>
        <m:r>
          <m:t>h</m:t>
        </m:r>
        <m:r>
          <m:t>e</m:t>
        </m:r>
        <m:r>
          <m:t>n</m:t>
        </m:r>
        <m:r>
          <m:t>d</m:t>
        </m:r>
        <m:r>
          <m:t>a</m:t>
        </m:r>
        <m:r>
          <m:t>n</m:t>
        </m:r>
        <m:r>
          <m:t>d</m:t>
        </m:r>
        <m:r>
          <m:rPr>
            <m:sty m:val="p"/>
          </m:rPr>
          <m:t>/</m:t>
        </m:r>
        <m:r>
          <m:t>o</m:t>
        </m:r>
        <m:r>
          <m:t>r</m:t>
        </m:r>
        <m:r>
          <m:t>t</m:t>
        </m:r>
        <m:r>
          <m:t>h</m:t>
        </m:r>
        <m:r>
          <m:t>e</m:t>
        </m:r>
        <m:r>
          <m:t>a</m:t>
        </m:r>
        <m:r>
          <m:t>p</m:t>
        </m:r>
        <m:r>
          <m:t>p</m:t>
        </m:r>
        <m:r>
          <m:t>r</m:t>
        </m:r>
        <m:r>
          <m:t>o</m:t>
        </m:r>
        <m:r>
          <m:t>x</m:t>
        </m:r>
        <m:r>
          <m:t>i</m:t>
        </m:r>
        <m:r>
          <m:t>m</m:t>
        </m:r>
        <m:r>
          <m:t>a</m:t>
        </m:r>
        <m:r>
          <m:t>t</m:t>
        </m:r>
        <m:r>
          <m:t>e</m:t>
        </m:r>
        <m:r>
          <m:t>l</m:t>
        </m:r>
        <m:r>
          <m:t>y</m:t>
        </m:r>
        <m:r>
          <m:rPr>
            <m:sty m:val="p"/>
          </m:rPr>
          <m:t>*</m:t>
        </m:r>
        <m:r>
          <m:rPr>
            <m:sty m:val="p"/>
          </m:rPr>
          <m:t>*</m:t>
        </m:r>
      </m:oMath>
      <w:r>
        <w:t xml:space="preserve">33.80** consensus cited in early July;</w:t>
      </w:r>
    </w:p>
    <w:p>
      <w:pPr>
        <w:pStyle w:val="Compact"/>
        <w:numPr>
          <w:ilvl w:val="0"/>
          <w:numId w:val="1001"/>
        </w:numPr>
      </w:pPr>
      <w:r>
        <w:t xml:space="preserve">The degree to which upside comes from</w:t>
      </w:r>
      <w:r>
        <w:t xml:space="preserve"> </w:t>
      </w:r>
      <w:r>
        <w:rPr>
          <w:b/>
          <w:bCs/>
        </w:rPr>
        <w:t xml:space="preserve">pricing</w:t>
      </w:r>
      <w:r>
        <w:t xml:space="preserve">, bit shipments, or mix; and</w:t>
      </w:r>
    </w:p>
    <w:p>
      <w:pPr>
        <w:pStyle w:val="Compact"/>
        <w:numPr>
          <w:ilvl w:val="0"/>
          <w:numId w:val="1001"/>
        </w:numPr>
      </w:pPr>
      <w:r>
        <w:t xml:space="preserve">Whether management provides fiscal 1Q27 and full-year commentary consistent with continued growth rather than a post-peak normalization.</w:t>
      </w:r>
    </w:p>
    <w:p>
      <w:pPr>
        <w:pStyle w:val="FirstParagraph"/>
      </w:pPr>
      <w:r>
        <w:t xml:space="preserve">The core risk is that expectations have moved faster than published consensus. Sandisk’s April guide was issued before the full magnitude of recent AI-memory optimism became embedded in investor forecasts.</w:t>
      </w:r>
    </w:p>
    <w:bookmarkEnd w:id="10"/>
    <w:bookmarkStart w:id="11" w:name="X6a62d2ba704a3b22508e61c5556557264942ac2"/>
    <w:p>
      <w:pPr>
        <w:pStyle w:val="Heading3"/>
      </w:pPr>
      <w:r>
        <w:t xml:space="preserve">2. Gross-margin durability: 80% is now the central debate</w:t>
      </w:r>
    </w:p>
    <w:p>
      <w:pPr>
        <w:pStyle w:val="FirstParagraph"/>
      </w:pPr>
      <w:r>
        <w:t xml:space="preserve">Sandisk guided to</w:t>
      </w:r>
      <w:r>
        <w:t xml:space="preserve"> </w:t>
      </w:r>
      <w:r>
        <w:rPr>
          <w:b/>
          <w:bCs/>
        </w:rPr>
        <w:t xml:space="preserve">79%–81% non-GAAP gross margin</w:t>
      </w:r>
      <w:r>
        <w:t xml:space="preserve"> </w:t>
      </w:r>
      <w:r>
        <w:t xml:space="preserve">in 4Q, following 78.4% in 3Q. That would be remarkable for a business historically viewed as highly cyclical.</w:t>
      </w:r>
    </w:p>
    <w:p>
      <w:pPr>
        <w:pStyle w:val="BodyText"/>
      </w:pPr>
      <w:r>
        <w:t xml:space="preserve">Management has argued this is not just a spot-pricing outcome. Its thesis is that:</w:t>
      </w:r>
    </w:p>
    <w:p>
      <w:pPr>
        <w:pStyle w:val="Compact"/>
        <w:numPr>
          <w:ilvl w:val="0"/>
          <w:numId w:val="1002"/>
        </w:numPr>
      </w:pPr>
      <w:r>
        <w:t xml:space="preserve">enterprise SSD and other high-value products are becoming a larger share of mix;</w:t>
      </w:r>
    </w:p>
    <w:p>
      <w:pPr>
        <w:pStyle w:val="Compact"/>
        <w:numPr>
          <w:ilvl w:val="0"/>
          <w:numId w:val="1002"/>
        </w:numPr>
      </w:pPr>
      <w:r>
        <w:t xml:space="preserve">constrained NAND supply and AI-related demand improve pricing;</w:t>
      </w:r>
    </w:p>
    <w:p>
      <w:pPr>
        <w:pStyle w:val="Compact"/>
        <w:numPr>
          <w:ilvl w:val="0"/>
          <w:numId w:val="1002"/>
        </w:numPr>
      </w:pPr>
      <w:r>
        <w:t xml:space="preserve">multiyear customer agreements put a floor under demand and economics; and</w:t>
      </w:r>
    </w:p>
    <w:p>
      <w:pPr>
        <w:pStyle w:val="Compact"/>
        <w:numPr>
          <w:ilvl w:val="0"/>
          <w:numId w:val="1002"/>
        </w:numPr>
      </w:pPr>
      <w:r>
        <w:t xml:space="preserve">disciplined capacity growth can reduce traditional NAND-cycle volatility.</w:t>
      </w:r>
    </w:p>
    <w:p>
      <w:pPr>
        <w:pStyle w:val="FirstParagraph"/>
      </w:pPr>
      <w:r>
        <w:t xml:space="preserve">Investors should nonetheless distinguish between</w:t>
      </w:r>
      <w:r>
        <w:t xml:space="preserve"> </w:t>
      </w:r>
      <w:r>
        <w:rPr>
          <w:b/>
          <w:bCs/>
        </w:rPr>
        <w:t xml:space="preserve">current-cycle gross margins</w:t>
      </w:r>
      <w:r>
        <w:t xml:space="preserve"> </w:t>
      </w:r>
      <w:r>
        <w:t xml:space="preserve">and a defensible</w:t>
      </w:r>
      <w:r>
        <w:t xml:space="preserve"> </w:t>
      </w:r>
      <w:r>
        <w:rPr>
          <w:b/>
          <w:bCs/>
        </w:rPr>
        <w:t xml:space="preserve">through-cycle margin framework</w:t>
      </w:r>
      <w:r>
        <w:t xml:space="preserve">. The key earnings-call question is not simply whether 4Q gross margin lands at 80%; it is whether management gives a credible indication of where margins can settle if pricing moderates.</w:t>
      </w:r>
    </w:p>
    <w:p>
      <w:pPr>
        <w:pStyle w:val="BodyText"/>
      </w:pPr>
      <w:r>
        <w:rPr>
          <w:b/>
          <w:bCs/>
        </w:rPr>
        <w:t xml:space="preserve">Watch for:</w:t>
      </w:r>
    </w:p>
    <w:p>
      <w:pPr>
        <w:pStyle w:val="Compact"/>
        <w:numPr>
          <w:ilvl w:val="0"/>
          <w:numId w:val="1003"/>
        </w:numPr>
      </w:pPr>
      <w:r>
        <w:t xml:space="preserve">Explicit commentary on spot versus contract pricing;</w:t>
      </w:r>
    </w:p>
    <w:p>
      <w:pPr>
        <w:pStyle w:val="Compact"/>
        <w:numPr>
          <w:ilvl w:val="0"/>
          <w:numId w:val="1003"/>
        </w:numPr>
      </w:pPr>
      <w:r>
        <w:t xml:space="preserve">Any disclosure of pricing “floors” or “ceilings” in New Business Model agreements;</w:t>
      </w:r>
    </w:p>
    <w:p>
      <w:pPr>
        <w:pStyle w:val="Compact"/>
        <w:numPr>
          <w:ilvl w:val="0"/>
          <w:numId w:val="1003"/>
        </w:numPr>
      </w:pPr>
      <w:r>
        <w:t xml:space="preserve">Gross-margin implications of the QLC enterprise SSD ramp;</w:t>
      </w:r>
    </w:p>
    <w:p>
      <w:pPr>
        <w:pStyle w:val="Compact"/>
        <w:numPr>
          <w:ilvl w:val="0"/>
          <w:numId w:val="1003"/>
        </w:numPr>
      </w:pPr>
      <w:r>
        <w:t xml:space="preserve">Cost-per-bit progress from the BiCS8 transition; and</w:t>
      </w:r>
    </w:p>
    <w:p>
      <w:pPr>
        <w:pStyle w:val="Compact"/>
        <w:numPr>
          <w:ilvl w:val="0"/>
          <w:numId w:val="1003"/>
        </w:numPr>
      </w:pPr>
      <w:r>
        <w:t xml:space="preserve">Whether fiscal 2027 margins are framed as stable, rising, or subject to mix and pricing normalization.</w:t>
      </w:r>
    </w:p>
    <w:bookmarkEnd w:id="11"/>
    <w:bookmarkEnd w:id="12"/>
    <w:bookmarkStart w:id="13" w:name="X85e600661bfccf80cc1837f182b009876d81718"/>
    <w:p>
      <w:pPr>
        <w:pStyle w:val="Heading2"/>
      </w:pPr>
      <w:r>
        <w:t xml:space="preserve">3. Data center: the next leg of the story needs to show up in revenue</w:t>
      </w:r>
    </w:p>
    <w:p>
      <w:pPr>
        <w:pStyle w:val="FirstParagraph"/>
      </w:pPr>
      <w:r>
        <w:t xml:space="preserve">Data-center revenue rose</w:t>
      </w:r>
      <w:r>
        <w:t xml:space="preserve"> </w:t>
      </w:r>
      <w:r>
        <w:rPr>
          <w:b/>
          <w:bCs/>
        </w:rPr>
        <w:t xml:space="preserve">233% sequentially</w:t>
      </w:r>
      <w:r>
        <w:t xml:space="preserve"> </w:t>
      </w:r>
      <w:r>
        <w:t xml:space="preserve">in fiscal 3Q to</w:t>
      </w:r>
      <w:r>
        <w:t xml:space="preserve"> </w:t>
      </w:r>
      <w:r>
        <w:rPr>
          <w:b/>
          <w:bCs/>
        </w:rPr>
        <w:t xml:space="preserve">$1.47 billion</w:t>
      </w:r>
      <w:r>
        <w:t xml:space="preserve">, reaching roughly 25% of total revenue. The growth was driven primarily by TLC enterprise SSD demand for performance-intensive AI infrastructure workloads.</w:t>
      </w:r>
    </w:p>
    <w:p>
      <w:pPr>
        <w:pStyle w:val="BodyText"/>
      </w:pPr>
      <w:r>
        <w:t xml:space="preserve">The major incremental catalyst for 4Q is the initial revenue ramp of</w:t>
      </w:r>
      <w:r>
        <w:t xml:space="preserve"> </w:t>
      </w:r>
      <w:r>
        <w:rPr>
          <w:b/>
          <w:bCs/>
        </w:rPr>
        <w:t xml:space="preserve">“Stargate,” Sandisk’s QLC enterprise SSD offering</w:t>
      </w:r>
      <w:r>
        <w:t xml:space="preserve">. Management characterized 4Q as the first quarter of recognized Stargate revenue after customer qualifications, making this report an early test of whether the company can add a storage-density product cycle alongside its established performance-oriented TLC products.</w:t>
      </w:r>
    </w:p>
    <w:p>
      <w:pPr>
        <w:pStyle w:val="BodyText"/>
      </w:pPr>
      <w:r>
        <w:t xml:space="preserve">The data-center questions to watch are:</w:t>
      </w:r>
    </w:p>
    <w:p>
      <w:pPr>
        <w:pStyle w:val="Compact"/>
        <w:numPr>
          <w:ilvl w:val="0"/>
          <w:numId w:val="1004"/>
        </w:numPr>
      </w:pPr>
      <w:r>
        <w:t xml:space="preserve">How much did data-center revenue grow sequentially?</w:t>
      </w:r>
    </w:p>
    <w:p>
      <w:pPr>
        <w:pStyle w:val="Compact"/>
        <w:numPr>
          <w:ilvl w:val="0"/>
          <w:numId w:val="1004"/>
        </w:numPr>
      </w:pPr>
      <w:r>
        <w:t xml:space="preserve">Did the QLC ramp contribute materially, or is it still only a modest initial contribution?</w:t>
      </w:r>
    </w:p>
    <w:p>
      <w:pPr>
        <w:pStyle w:val="Compact"/>
        <w:numPr>
          <w:ilvl w:val="0"/>
          <w:numId w:val="1004"/>
        </w:numPr>
      </w:pPr>
      <w:r>
        <w:t xml:space="preserve">Is TLC demand still strong enough to support mix and margins?</w:t>
      </w:r>
    </w:p>
    <w:p>
      <w:pPr>
        <w:pStyle w:val="Compact"/>
        <w:numPr>
          <w:ilvl w:val="0"/>
          <w:numId w:val="1004"/>
        </w:numPr>
      </w:pPr>
      <w:r>
        <w:t xml:space="preserve">What is the company seeing from hyperscale inference, KV-cache and retrieval-augmented-generation workloads?</w:t>
      </w:r>
    </w:p>
    <w:p>
      <w:pPr>
        <w:pStyle w:val="Compact"/>
        <w:numPr>
          <w:ilvl w:val="0"/>
          <w:numId w:val="1004"/>
        </w:numPr>
      </w:pPr>
      <w:r>
        <w:t xml:space="preserve">Does management expect data-center to become the largest end market over the next several quarters?</w:t>
      </w:r>
    </w:p>
    <w:p>
      <w:pPr>
        <w:pStyle w:val="FirstParagraph"/>
      </w:pPr>
      <w:r>
        <w:t xml:space="preserve">The bull case is that data-center SSD revenue remains in an early ramp, with both TLC and QLC products broadening Sandisk’s content opportunity. The bear case is that investors have already capitalized several years of AI-storage demand into expectations, leaving little tolerance for a slower-than-expected QLC ramp or cautious customer commentary.</w:t>
      </w:r>
    </w:p>
    <w:bookmarkEnd w:id="13"/>
    <w:bookmarkStart w:id="15" w:name="X5b6d981c2e4489dce3c59c9accea147c94d2223"/>
    <w:p>
      <w:pPr>
        <w:pStyle w:val="Heading2"/>
      </w:pPr>
      <w:r>
        <w:t xml:space="preserve">4. New Business Models: validate the “less cyclical NAND” narrative</w:t>
      </w:r>
    </w:p>
    <w:p>
      <w:pPr>
        <w:pStyle w:val="FirstParagraph"/>
      </w:pPr>
      <w:r>
        <w:t xml:space="preserve">Sandisk’s most consequential strategic disclosure in fiscal 3Q was its new multiyear customer-contract structure, or</w:t>
      </w:r>
      <w:r>
        <w:t xml:space="preserve"> </w:t>
      </w:r>
      <w:r>
        <w:rPr>
          <w:b/>
          <w:bCs/>
        </w:rPr>
        <w:t xml:space="preserve">New Business Models (NBMs)</w:t>
      </w:r>
      <w:r>
        <w:t xml:space="preserve">.</w:t>
      </w:r>
    </w:p>
    <w:p>
      <w:pPr>
        <w:pStyle w:val="BodyText"/>
      </w:pPr>
      <w:r>
        <w:t xml:space="preserve">At the April earnings call, the company disclosed:</w:t>
      </w:r>
    </w:p>
    <w:p>
      <w:pPr>
        <w:pStyle w:val="Compact"/>
        <w:numPr>
          <w:ilvl w:val="0"/>
          <w:numId w:val="1005"/>
        </w:numPr>
      </w:pPr>
      <w:r>
        <w:rPr>
          <w:b/>
          <w:bCs/>
        </w:rPr>
        <w:t xml:space="preserve">Five signed agreements</w:t>
      </w:r>
      <w:r>
        <w:t xml:space="preserve"> </w:t>
      </w:r>
      <w:r>
        <w:t xml:space="preserve">as of the call;</w:t>
      </w:r>
    </w:p>
    <w:p>
      <w:pPr>
        <w:pStyle w:val="Compact"/>
        <w:numPr>
          <w:ilvl w:val="0"/>
          <w:numId w:val="1005"/>
        </w:numPr>
      </w:pPr>
      <w:r>
        <w:t xml:space="preserve">More than</w:t>
      </w:r>
      <w:r>
        <w:t xml:space="preserve"> </w:t>
      </w:r>
      <w:r>
        <w:rPr>
          <w:b/>
          <w:bCs/>
        </w:rPr>
        <w:t xml:space="preserve">$11 billion of financial guarantees</w:t>
      </w:r>
      <w:r>
        <w:t xml:space="preserve"> </w:t>
      </w:r>
      <w:r>
        <w:t xml:space="preserve">across those five agreements;</w:t>
      </w:r>
    </w:p>
    <w:p>
      <w:pPr>
        <w:pStyle w:val="Compact"/>
        <w:numPr>
          <w:ilvl w:val="0"/>
          <w:numId w:val="1005"/>
        </w:numPr>
      </w:pPr>
      <w:r>
        <w:t xml:space="preserve">Approximately</w:t>
      </w:r>
      <w:r>
        <w:t xml:space="preserve"> </w:t>
      </w:r>
      <w:r>
        <w:rPr>
          <w:b/>
          <w:bCs/>
        </w:rPr>
        <w:t xml:space="preserve">$42 billion of minimum contractual revenue / remaining performance obligations (RPO)</w:t>
      </w:r>
      <w:r>
        <w:t xml:space="preserve"> </w:t>
      </w:r>
      <w:r>
        <w:t xml:space="preserve">from the first three agreements signed by quarter-end;</w:t>
      </w:r>
    </w:p>
    <w:p>
      <w:pPr>
        <w:pStyle w:val="Compact"/>
        <w:numPr>
          <w:ilvl w:val="0"/>
          <w:numId w:val="1005"/>
        </w:numPr>
      </w:pPr>
      <w:r>
        <w:t xml:space="preserve">About</w:t>
      </w:r>
      <w:r>
        <w:t xml:space="preserve"> </w:t>
      </w:r>
      <w:r>
        <w:rPr>
          <w:b/>
          <w:bCs/>
        </w:rPr>
        <w:t xml:space="preserve">$0.4 billion of customer prepayments</w:t>
      </w:r>
      <w:r>
        <w:t xml:space="preserve"> </w:t>
      </w:r>
      <w:r>
        <w:t xml:space="preserve">reflected in the 3Q balance sheet;</w:t>
      </w:r>
    </w:p>
    <w:p>
      <w:pPr>
        <w:pStyle w:val="Compact"/>
        <w:numPr>
          <w:ilvl w:val="0"/>
          <w:numId w:val="1005"/>
        </w:numPr>
      </w:pPr>
      <w:r>
        <w:t xml:space="preserve">More than</w:t>
      </w:r>
      <w:r>
        <w:t xml:space="preserve"> </w:t>
      </w:r>
      <w:r>
        <w:rPr>
          <w:b/>
          <w:bCs/>
        </w:rPr>
        <w:t xml:space="preserve">one-third of expected fiscal 2027 bits</w:t>
      </w:r>
      <w:r>
        <w:t xml:space="preserve"> </w:t>
      </w:r>
      <w:r>
        <w:t xml:space="preserve">under signed agreements; and</w:t>
      </w:r>
    </w:p>
    <w:p>
      <w:pPr>
        <w:pStyle w:val="Compact"/>
        <w:numPr>
          <w:ilvl w:val="0"/>
          <w:numId w:val="1005"/>
        </w:numPr>
      </w:pPr>
      <w:r>
        <w:t xml:space="preserve">Contract durations extending up to</w:t>
      </w:r>
      <w:r>
        <w:t xml:space="preserve"> </w:t>
      </w:r>
      <w:r>
        <w:rPr>
          <w:b/>
          <w:bCs/>
        </w:rPr>
        <w:t xml:space="preserve">five years</w:t>
      </w:r>
      <w:r>
        <w:t xml:space="preserve">.</w:t>
      </w:r>
    </w:p>
    <w:p>
      <w:pPr>
        <w:pStyle w:val="FirstParagraph"/>
      </w:pPr>
      <w:r>
        <w:t xml:space="preserve">The 4Q report should offer the first meaningful update on whether the signed-agreement count, RPO, prepayments, and committed fiscal 2027 volume have increased. This may be the single most important item for the stock.</w:t>
      </w:r>
    </w:p>
    <w:bookmarkStart w:id="14" w:name="why-it-matters"/>
    <w:p>
      <w:pPr>
        <w:pStyle w:val="Heading3"/>
      </w:pPr>
      <w:r>
        <w:t xml:space="preserve">Why it matters</w:t>
      </w:r>
    </w:p>
    <w:p>
      <w:pPr>
        <w:pStyle w:val="FirstParagraph"/>
      </w:pPr>
      <w:r>
        <w:t xml:space="preserve">If genuine volume commitments, customer collateral, and pricing mechanisms can protect a meaningful portion of Sandisk’s output, the company may deserve a different valuation framework from the historically cyclical NAND market. Conversely, uncertainty around contract enforceability, pricing flexibility, customer concentration, and Sandisk’s ability to fulfill supply obligations remains the principal fundamental challenge to that thesis.</w:t>
      </w:r>
    </w:p>
    <w:p>
      <w:pPr>
        <w:pStyle w:val="BodyText"/>
      </w:pPr>
      <w:r>
        <w:t xml:space="preserve">Sandisk itself acknowledges the risk: if either party fails to meet contractual commitments, the company could face lost revenue, excess inventory, underutilization, financial penalties, or a need to resell affected volumes into a less favorable market.</w:t>
      </w:r>
    </w:p>
    <w:p>
      <w:pPr>
        <w:pStyle w:val="BodyText"/>
      </w:pPr>
      <w:r>
        <w:rPr>
          <w:b/>
          <w:bCs/>
        </w:rPr>
        <w:t xml:space="preserve">Best outcome:</w:t>
      </w:r>
      <w:r>
        <w:t xml:space="preserve"> </w:t>
      </w:r>
      <w:r>
        <w:t xml:space="preserve">updated RPO materially above $42 billion, more signed contracts, higher fiscal 2027 committed-bit coverage, and clear evidence that agreement economics support current margin levels.</w:t>
      </w:r>
    </w:p>
    <w:p>
      <w:pPr>
        <w:pStyle w:val="BodyText"/>
      </w:pPr>
      <w:r>
        <w:rPr>
          <w:b/>
          <w:bCs/>
        </w:rPr>
        <w:t xml:space="preserve">Disappointing outcome:</w:t>
      </w:r>
      <w:r>
        <w:t xml:space="preserve"> </w:t>
      </w:r>
      <w:r>
        <w:t xml:space="preserve">few incremental agreements, limited detail on actual contracted economics, or a suggestion that the company is deferring substantive disclosures until the August 13 Investor Day.</w:t>
      </w:r>
    </w:p>
    <w:bookmarkEnd w:id="14"/>
    <w:bookmarkEnd w:id="15"/>
    <w:bookmarkStart w:id="16" w:name="X5c5ec89d0e04394bd8ef12b354fbe03812b2b3a"/>
    <w:p>
      <w:pPr>
        <w:pStyle w:val="Heading2"/>
      </w:pPr>
      <w:r>
        <w:t xml:space="preserve">5. Fiscal 2027 guidance and Investor Day positioning</w:t>
      </w:r>
    </w:p>
    <w:p>
      <w:pPr>
        <w:pStyle w:val="FirstParagraph"/>
      </w:pPr>
      <w:r>
        <w:t xml:space="preserve">Sandisk closes a 53-week fiscal 2026 on July 3, 2026. Using the midpoint of 4Q guidance, fiscal-year revenue would be about</w:t>
      </w:r>
      <w:r>
        <w:t xml:space="preserve"> </w:t>
      </w:r>
      <w:r>
        <w:rPr>
          <w:b/>
          <w:bCs/>
        </w:rPr>
        <w:t xml:space="preserve">$19.3 billion</w:t>
      </w:r>
      <w:r>
        <w:t xml:space="preserve">, versus $11.3 billion through the first nine months.</w:t>
      </w:r>
    </w:p>
    <w:p>
      <w:pPr>
        <w:pStyle w:val="BodyText"/>
      </w:pPr>
      <w:r>
        <w:t xml:space="preserve">The August 13 Investor Day creates an unusual two-step catalyst sequence:</w:t>
      </w:r>
    </w:p>
    <w:p>
      <w:pPr>
        <w:pStyle w:val="Compact"/>
        <w:numPr>
          <w:ilvl w:val="0"/>
          <w:numId w:val="1006"/>
        </w:numPr>
      </w:pPr>
      <w:r>
        <w:rPr>
          <w:b/>
          <w:bCs/>
        </w:rPr>
        <w:t xml:space="preserve">August 5 earnings:</w:t>
      </w:r>
      <w:r>
        <w:t xml:space="preserve"> </w:t>
      </w:r>
      <w:r>
        <w:t xml:space="preserve">validates 4Q execution and provides near-term outlook.</w:t>
      </w:r>
    </w:p>
    <w:p>
      <w:pPr>
        <w:pStyle w:val="Compact"/>
        <w:numPr>
          <w:ilvl w:val="0"/>
          <w:numId w:val="1006"/>
        </w:numPr>
      </w:pPr>
      <w:r>
        <w:rPr>
          <w:b/>
          <w:bCs/>
        </w:rPr>
        <w:t xml:space="preserve">August 13 Investor Day:</w:t>
      </w:r>
      <w:r>
        <w:t xml:space="preserve"> </w:t>
      </w:r>
      <w:r>
        <w:t xml:space="preserve">potentially delivers the more complete fiscal 2027 model, including end-market mix, margin framework, capital intensity, NBM disclosures, technology roadmap, and capital allocation.</w:t>
      </w:r>
    </w:p>
    <w:p>
      <w:pPr>
        <w:pStyle w:val="FirstParagraph"/>
      </w:pPr>
      <w:r>
        <w:t xml:space="preserve">This could reduce the need for management to disclose every long-term target in the earnings release. However, investors are likely to expect at least directional fiscal 2027 commentary on revenue, gross margin, bit growth, capital spending, and cash return at the August 5 report.</w:t>
      </w:r>
    </w:p>
    <w:bookmarkEnd w:id="16"/>
    <w:bookmarkStart w:id="17" w:name="Xbf28410925ea825d7c09d861abd7c2363898d36"/>
    <w:p>
      <w:pPr>
        <w:pStyle w:val="Heading2"/>
      </w:pPr>
      <w:r>
        <w:t xml:space="preserve">Cash flow, capital allocation, and balance-sheet upside</w:t>
      </w:r>
    </w:p>
    <w:p>
      <w:pPr>
        <w:pStyle w:val="FirstParagraph"/>
      </w:pPr>
      <w:r>
        <w:t xml:space="preserve">Sandisk ended fiscal 3Q with:</w:t>
      </w:r>
    </w:p>
    <w:p>
      <w:pPr>
        <w:pStyle w:val="Compact"/>
        <w:numPr>
          <w:ilvl w:val="0"/>
          <w:numId w:val="1007"/>
        </w:numPr>
      </w:pPr>
      <w:r>
        <w:rPr>
          <w:b/>
          <w:bCs/>
        </w:rPr>
        <w:t xml:space="preserve">$3.74 billion</w:t>
      </w:r>
      <w:r>
        <w:t xml:space="preserve"> </w:t>
      </w:r>
      <w:r>
        <w:t xml:space="preserve">of cash and equivalents;</w:t>
      </w:r>
    </w:p>
    <w:p>
      <w:pPr>
        <w:pStyle w:val="Compact"/>
        <w:numPr>
          <w:ilvl w:val="0"/>
          <w:numId w:val="1007"/>
        </w:numPr>
      </w:pPr>
      <w:r>
        <w:rPr>
          <w:b/>
          <w:bCs/>
        </w:rPr>
        <w:t xml:space="preserve">No term debt</w:t>
      </w:r>
      <w:r>
        <w:t xml:space="preserve">, after repaying its remaining term loan in March;</w:t>
      </w:r>
    </w:p>
    <w:p>
      <w:pPr>
        <w:pStyle w:val="Compact"/>
        <w:numPr>
          <w:ilvl w:val="0"/>
          <w:numId w:val="1007"/>
        </w:numPr>
      </w:pPr>
      <w:r>
        <w:rPr>
          <w:b/>
          <w:bCs/>
        </w:rPr>
        <w:t xml:space="preserve">$2.96 billion</w:t>
      </w:r>
      <w:r>
        <w:t xml:space="preserve"> </w:t>
      </w:r>
      <w:r>
        <w:t xml:space="preserve">of adjusted free cash flow in the quarter; and</w:t>
      </w:r>
    </w:p>
    <w:p>
      <w:pPr>
        <w:pStyle w:val="Compact"/>
        <w:numPr>
          <w:ilvl w:val="0"/>
          <w:numId w:val="1007"/>
        </w:numPr>
      </w:pPr>
      <w:r>
        <w:t xml:space="preserve">A</w:t>
      </w:r>
      <w:r>
        <w:t xml:space="preserve"> </w:t>
      </w:r>
      <w:r>
        <w:rPr>
          <w:b/>
          <w:bCs/>
        </w:rPr>
        <w:t xml:space="preserve">$6 billion share-repurchase authorization</w:t>
      </w:r>
      <w:r>
        <w:t xml:space="preserve"> </w:t>
      </w:r>
      <w:r>
        <w:t xml:space="preserve">announced in April.</w:t>
      </w:r>
    </w:p>
    <w:p>
      <w:pPr>
        <w:pStyle w:val="FirstParagraph"/>
      </w:pPr>
      <w:r>
        <w:t xml:space="preserve">There are competing cash uses. Sandisk completed a roughly</w:t>
      </w:r>
      <w:r>
        <w:t xml:space="preserve"> </w:t>
      </w:r>
      <w:r>
        <w:rPr>
          <w:b/>
          <w:bCs/>
        </w:rPr>
        <w:t xml:space="preserve">$972 million investment in Nanya</w:t>
      </w:r>
      <w:r>
        <w:t xml:space="preserve"> </w:t>
      </w:r>
      <w:r>
        <w:t xml:space="preserve">in April to secure DRAM supply for its expanding data-center SSD business, and it remains committed to investments associated with Flash Ventures and the Kioxia manufacturing partnership. Still, the company’s strong cash generation means investors will seek evidence that buybacks have begun and can coexist with the investment needed to support BiCS transitions, enterprise SSD expansion, and supply-chain resilience.</w:t>
      </w:r>
    </w:p>
    <w:p>
      <w:pPr>
        <w:pStyle w:val="BodyText"/>
      </w:pPr>
      <w:r>
        <w:t xml:space="preserve">Key disclosures:</w:t>
      </w:r>
    </w:p>
    <w:p>
      <w:pPr>
        <w:pStyle w:val="Compact"/>
        <w:numPr>
          <w:ilvl w:val="0"/>
          <w:numId w:val="1008"/>
        </w:numPr>
      </w:pPr>
      <w:r>
        <w:t xml:space="preserve">Repurchase activity during 4Q;</w:t>
      </w:r>
    </w:p>
    <w:p>
      <w:pPr>
        <w:pStyle w:val="Compact"/>
        <w:numPr>
          <w:ilvl w:val="0"/>
          <w:numId w:val="1008"/>
        </w:numPr>
      </w:pPr>
      <w:r>
        <w:t xml:space="preserve">Cash balance after the Nanya investment;</w:t>
      </w:r>
    </w:p>
    <w:p>
      <w:pPr>
        <w:pStyle w:val="Compact"/>
        <w:numPr>
          <w:ilvl w:val="0"/>
          <w:numId w:val="1008"/>
        </w:numPr>
      </w:pPr>
      <w:r>
        <w:t xml:space="preserve">Capex outlook for FY27, especially as BiCS8 conversion continues and BiCS10 capacity investment begins;</w:t>
      </w:r>
    </w:p>
    <w:p>
      <w:pPr>
        <w:pStyle w:val="Compact"/>
        <w:numPr>
          <w:ilvl w:val="0"/>
          <w:numId w:val="1008"/>
        </w:numPr>
      </w:pPr>
      <w:r>
        <w:t xml:space="preserve">Flash Ventures funding needs; and</w:t>
      </w:r>
    </w:p>
    <w:p>
      <w:pPr>
        <w:pStyle w:val="Compact"/>
        <w:numPr>
          <w:ilvl w:val="0"/>
          <w:numId w:val="1008"/>
        </w:numPr>
      </w:pPr>
      <w:r>
        <w:t xml:space="preserve">Whether capex grows in absolute dollars while falling as a share of revenue, as management has suggested.</w:t>
      </w:r>
    </w:p>
    <w:bookmarkEnd w:id="17"/>
    <w:bookmarkStart w:id="18" w:name="stock-setup-and-expectations"/>
    <w:p>
      <w:pPr>
        <w:pStyle w:val="Heading2"/>
      </w:pPr>
      <w:r>
        <w:t xml:space="preserve">Stock setup and expectations</w:t>
      </w:r>
    </w:p>
    <w:p>
      <w:pPr>
        <w:pStyle w:val="FirstParagraph"/>
      </w:pPr>
      <w:r>
        <w:t xml:space="preserve">SNDK closed at</w:t>
      </w:r>
      <w:r>
        <w:t xml:space="preserve"> </w:t>
      </w:r>
      <w:r>
        <w:rPr>
          <w:b/>
          <w:bCs/>
        </w:rPr>
        <w:t xml:space="preserve">$1,427.66 on August 4</w:t>
      </w:r>
      <w:r>
        <w:t xml:space="preserve">. The stock has been exceptionally volatile:</w:t>
      </w:r>
    </w:p>
    <w:p>
      <w:pPr>
        <w:pStyle w:val="Compact"/>
        <w:numPr>
          <w:ilvl w:val="0"/>
          <w:numId w:val="1009"/>
        </w:numPr>
      </w:pPr>
      <w:r>
        <w:t xml:space="preserve">It was down about</w:t>
      </w:r>
      <w:r>
        <w:t xml:space="preserve"> </w:t>
      </w:r>
      <w:r>
        <w:rPr>
          <w:b/>
          <w:bCs/>
        </w:rPr>
        <w:t xml:space="preserve">39% from its June 25 closing high of $2,335</w:t>
      </w:r>
      <w:r>
        <w:t xml:space="preserve"> </w:t>
      </w:r>
      <w:r>
        <w:t xml:space="preserve">through August 4.</w:t>
      </w:r>
    </w:p>
    <w:p>
      <w:pPr>
        <w:pStyle w:val="Compact"/>
        <w:numPr>
          <w:ilvl w:val="0"/>
          <w:numId w:val="1009"/>
        </w:numPr>
      </w:pPr>
      <w:r>
        <w:t xml:space="preserve">It rebounded about</w:t>
      </w:r>
      <w:r>
        <w:t xml:space="preserve"> </w:t>
      </w:r>
      <w:r>
        <w:rPr>
          <w:b/>
          <w:bCs/>
        </w:rPr>
        <w:t xml:space="preserve">41% from its July 29 closing low of $1,015.89</w:t>
      </w:r>
      <w:r>
        <w:t xml:space="preserve"> </w:t>
      </w:r>
      <w:r>
        <w:t xml:space="preserve">through August 4.</w:t>
      </w:r>
    </w:p>
    <w:p>
      <w:pPr>
        <w:pStyle w:val="Compact"/>
        <w:numPr>
          <w:ilvl w:val="0"/>
          <w:numId w:val="1009"/>
        </w:numPr>
      </w:pPr>
      <w:r>
        <w:t xml:space="preserve">It remains highly sensitive to broader AI and memory-sector sentiment, as illustrated by the sharp late-July selloff and subsequent semiconductor rebound.</w:t>
      </w:r>
    </w:p>
    <w:p>
      <w:pPr>
        <w:pStyle w:val="FirstParagraph"/>
      </w:pPr>
      <w:r>
        <w:t xml:space="preserve">That drawdown has reduced some near-term valuation pressure, but it does not make the setup easy. The issue is that Sandisk’s results and earnings estimates have risen so quickly that investors may require both an earnings beat and proof that fiscal 2027 economics can remain unusually strong.</w:t>
      </w:r>
    </w:p>
    <w:bookmarkEnd w:id="18"/>
    <w:bookmarkStart w:id="22" w:name="bull-base-and-bear-framing"/>
    <w:p>
      <w:pPr>
        <w:pStyle w:val="Heading2"/>
      </w:pPr>
      <w:r>
        <w:t xml:space="preserve">Bull, base, and bear framing</w:t>
      </w:r>
    </w:p>
    <w:bookmarkStart w:id="19" w:name="bull-case"/>
    <w:p>
      <w:pPr>
        <w:pStyle w:val="Heading3"/>
      </w:pPr>
      <w:r>
        <w:t xml:space="preserve">Bull case</w:t>
      </w:r>
    </w:p>
    <w:p>
      <w:pPr>
        <w:pStyle w:val="Compact"/>
        <w:numPr>
          <w:ilvl w:val="0"/>
          <w:numId w:val="1010"/>
        </w:numPr>
      </w:pPr>
      <w:r>
        <w:t xml:space="preserve">Revenue and EPS exceed the high end of guidance;</w:t>
      </w:r>
    </w:p>
    <w:p>
      <w:pPr>
        <w:pStyle w:val="Compact"/>
        <w:numPr>
          <w:ilvl w:val="0"/>
          <w:numId w:val="1010"/>
        </w:numPr>
      </w:pPr>
      <w:r>
        <w:t xml:space="preserve">Gross margin holds at or above 80%;</w:t>
      </w:r>
    </w:p>
    <w:p>
      <w:pPr>
        <w:pStyle w:val="Compact"/>
        <w:numPr>
          <w:ilvl w:val="0"/>
          <w:numId w:val="1010"/>
        </w:numPr>
      </w:pPr>
      <w:r>
        <w:t xml:space="preserve">Data-center growth remains powerful and Stargate ramps convincingly;</w:t>
      </w:r>
    </w:p>
    <w:p>
      <w:pPr>
        <w:pStyle w:val="Compact"/>
        <w:numPr>
          <w:ilvl w:val="0"/>
          <w:numId w:val="1010"/>
        </w:numPr>
      </w:pPr>
      <w:r>
        <w:t xml:space="preserve">NBM disclosures show growing RPO, more agreements, and committed fiscal 2027 volume above the prior “one-third of bits” threshold;</w:t>
      </w:r>
    </w:p>
    <w:p>
      <w:pPr>
        <w:pStyle w:val="Compact"/>
        <w:numPr>
          <w:ilvl w:val="0"/>
          <w:numId w:val="1010"/>
        </w:numPr>
      </w:pPr>
      <w:r>
        <w:t xml:space="preserve">Fiscal 2027 outlook supports sustained premium margins and strong free cash flow; and</w:t>
      </w:r>
    </w:p>
    <w:p>
      <w:pPr>
        <w:pStyle w:val="Compact"/>
        <w:numPr>
          <w:ilvl w:val="0"/>
          <w:numId w:val="1010"/>
        </w:numPr>
      </w:pPr>
      <w:r>
        <w:t xml:space="preserve">Buybacks begin meaningfully.</w:t>
      </w:r>
    </w:p>
    <w:bookmarkEnd w:id="19"/>
    <w:bookmarkStart w:id="20" w:name="base-case"/>
    <w:p>
      <w:pPr>
        <w:pStyle w:val="Heading3"/>
      </w:pPr>
      <w:r>
        <w:t xml:space="preserve">Base case</w:t>
      </w:r>
    </w:p>
    <w:p>
      <w:pPr>
        <w:pStyle w:val="Compact"/>
        <w:numPr>
          <w:ilvl w:val="0"/>
          <w:numId w:val="1011"/>
        </w:numPr>
      </w:pPr>
      <w:r>
        <w:t xml:space="preserve">Results land around or modestly above the guide midpoint;</w:t>
      </w:r>
    </w:p>
    <w:p>
      <w:pPr>
        <w:pStyle w:val="Compact"/>
        <w:numPr>
          <w:ilvl w:val="0"/>
          <w:numId w:val="1011"/>
        </w:numPr>
      </w:pPr>
      <w:r>
        <w:t xml:space="preserve">Gross margin remains near 80%, but management offers limited precision on through-cycle margins;</w:t>
      </w:r>
    </w:p>
    <w:p>
      <w:pPr>
        <w:pStyle w:val="Compact"/>
        <w:numPr>
          <w:ilvl w:val="0"/>
          <w:numId w:val="1011"/>
        </w:numPr>
      </w:pPr>
      <w:r>
        <w:t xml:space="preserve">Data-center and QLC commentary remains constructive;</w:t>
      </w:r>
    </w:p>
    <w:p>
      <w:pPr>
        <w:pStyle w:val="Compact"/>
        <w:numPr>
          <w:ilvl w:val="0"/>
          <w:numId w:val="1011"/>
        </w:numPr>
      </w:pPr>
      <w:r>
        <w:t xml:space="preserve">NBM progress continues but disclosure is incremental; and</w:t>
      </w:r>
    </w:p>
    <w:p>
      <w:pPr>
        <w:pStyle w:val="Compact"/>
        <w:numPr>
          <w:ilvl w:val="0"/>
          <w:numId w:val="1011"/>
        </w:numPr>
      </w:pPr>
      <w:r>
        <w:t xml:space="preserve">Management reserves fuller fiscal 2027 targets for Investor Day.</w:t>
      </w:r>
    </w:p>
    <w:bookmarkEnd w:id="20"/>
    <w:bookmarkStart w:id="21" w:name="bear-case"/>
    <w:p>
      <w:pPr>
        <w:pStyle w:val="Heading3"/>
      </w:pPr>
      <w:r>
        <w:t xml:space="preserve">Bear case</w:t>
      </w:r>
    </w:p>
    <w:p>
      <w:pPr>
        <w:pStyle w:val="Compact"/>
        <w:numPr>
          <w:ilvl w:val="0"/>
          <w:numId w:val="1012"/>
        </w:numPr>
      </w:pPr>
      <w:r>
        <w:t xml:space="preserve">Results are in line with company guidance but below elevated investor expectations;</w:t>
      </w:r>
    </w:p>
    <w:p>
      <w:pPr>
        <w:pStyle w:val="Compact"/>
        <w:numPr>
          <w:ilvl w:val="0"/>
          <w:numId w:val="1012"/>
        </w:numPr>
      </w:pPr>
      <w:r>
        <w:t xml:space="preserve">Pricing or gross-margin commentary implies deceleration;</w:t>
      </w:r>
    </w:p>
    <w:p>
      <w:pPr>
        <w:pStyle w:val="Compact"/>
        <w:numPr>
          <w:ilvl w:val="0"/>
          <w:numId w:val="1012"/>
        </w:numPr>
      </w:pPr>
      <w:r>
        <w:t xml:space="preserve">QLC enterprise SSD revenue ramps slower than expected;</w:t>
      </w:r>
    </w:p>
    <w:p>
      <w:pPr>
        <w:pStyle w:val="Compact"/>
        <w:numPr>
          <w:ilvl w:val="0"/>
          <w:numId w:val="1012"/>
        </w:numPr>
      </w:pPr>
      <w:r>
        <w:t xml:space="preserve">NBMs do not expand materially or lack visibility into actual pricing/margin protections;</w:t>
      </w:r>
    </w:p>
    <w:p>
      <w:pPr>
        <w:pStyle w:val="Compact"/>
        <w:numPr>
          <w:ilvl w:val="0"/>
          <w:numId w:val="1012"/>
        </w:numPr>
      </w:pPr>
      <w:r>
        <w:t xml:space="preserve">Fiscal 2027 capex rises materially without a correspondingly strong profitability framework; or</w:t>
      </w:r>
    </w:p>
    <w:p>
      <w:pPr>
        <w:pStyle w:val="Compact"/>
        <w:numPr>
          <w:ilvl w:val="0"/>
          <w:numId w:val="1012"/>
        </w:numPr>
      </w:pPr>
      <w:r>
        <w:t xml:space="preserve">Management points to supply, customer, tariff, or competitive risks that undercut the “structurally less cyclical” thesis.</w:t>
      </w:r>
    </w:p>
    <w:bookmarkEnd w:id="21"/>
    <w:bookmarkEnd w:id="22"/>
    <w:bookmarkStart w:id="24" w:name="bottom-line"/>
    <w:p>
      <w:pPr>
        <w:pStyle w:val="Heading2"/>
      </w:pPr>
      <w:r>
        <w:t xml:space="preserve">Bottom line</w:t>
      </w:r>
    </w:p>
    <w:p>
      <w:pPr>
        <w:pStyle w:val="FirstParagraph"/>
      </w:pPr>
      <w:r>
        <w:t xml:space="preserve">Sandisk’s fiscal 4Q report is a</w:t>
      </w:r>
      <w:r>
        <w:t xml:space="preserve"> </w:t>
      </w:r>
      <w:r>
        <w:rPr>
          <w:b/>
          <w:bCs/>
        </w:rPr>
        <w:t xml:space="preserve">durability test</w:t>
      </w:r>
      <w:r>
        <w:t xml:space="preserve">, not a simple quarterly beat/miss event. The company has already demonstrated that tight NAND supply, AI-driven storage demand, enterprise SSD mix, and pricing can produce extraordinary financial results. Investors now need evidence that those earnings are contractually supported, technologically sustainable, and repeatable into fiscal 2027.</w:t>
      </w:r>
    </w:p>
    <w:p>
      <w:pPr>
        <w:pStyle w:val="BodyText"/>
      </w:pPr>
      <w:r>
        <w:t xml:space="preserve">The three most important datapoints are:</w:t>
      </w:r>
    </w:p>
    <w:p>
      <w:pPr>
        <w:pStyle w:val="Compact"/>
        <w:numPr>
          <w:ilvl w:val="0"/>
          <w:numId w:val="1013"/>
        </w:numPr>
      </w:pPr>
      <w:r>
        <w:rPr>
          <w:b/>
          <w:bCs/>
        </w:rPr>
        <w:t xml:space="preserve">Revenue/EPS and gross margin versus the high end of guidance;</w:t>
      </w:r>
    </w:p>
    <w:p>
      <w:pPr>
        <w:pStyle w:val="Compact"/>
        <w:numPr>
          <w:ilvl w:val="0"/>
          <w:numId w:val="1013"/>
        </w:numPr>
      </w:pPr>
      <w:r>
        <w:rPr>
          <w:b/>
          <w:bCs/>
        </w:rPr>
        <w:t xml:space="preserve">Data-center and Stargate QLC enterprise SSD ramp trajectory;</w:t>
      </w:r>
    </w:p>
    <w:p>
      <w:pPr>
        <w:pStyle w:val="Compact"/>
        <w:numPr>
          <w:ilvl w:val="0"/>
          <w:numId w:val="1013"/>
        </w:numPr>
      </w:pPr>
      <w:r>
        <w:rPr>
          <w:b/>
          <w:bCs/>
        </w:rPr>
        <w:t xml:space="preserve">Incremental NBM evidence—RPO, contractual bit coverage, financial guarantees, and margin protection.</w:t>
      </w:r>
    </w:p>
    <w:p>
      <w:pPr>
        <w:pStyle w:val="FirstParagraph"/>
      </w:pPr>
      <w:r>
        <w:t xml:space="preserve">The August 13 Investor Day is an important follow-on catalyst, but an earnings report that materially exceeds the April outlook while strengthening the contract-visibility narrative would reinforce the case that Sandisk is evolving from a traditional cyclical NAND supplier into a higher-visibility AI-storage platform.</w:t>
      </w:r>
    </w:p>
    <w:bookmarkStart w:id="23" w:name="sources-reviewed"/>
    <w:p>
      <w:pPr>
        <w:pStyle w:val="Heading3"/>
      </w:pPr>
      <w:r>
        <w:t xml:space="preserve">Sources reviewed</w:t>
      </w:r>
    </w:p>
    <w:p>
      <w:pPr>
        <w:pStyle w:val="Compact"/>
        <w:numPr>
          <w:ilvl w:val="0"/>
          <w:numId w:val="1014"/>
        </w:numPr>
      </w:pPr>
      <w:r>
        <w:t xml:space="preserve">Sandisk fiscal 3Q26 earnings release and earnings-call transcript, April 30, 2026.</w:t>
      </w:r>
    </w:p>
    <w:p>
      <w:pPr>
        <w:pStyle w:val="Compact"/>
        <w:numPr>
          <w:ilvl w:val="0"/>
          <w:numId w:val="1014"/>
        </w:numPr>
      </w:pPr>
      <w:r>
        <w:t xml:space="preserve">Sandisk fiscal 3Q26 Form 10-Q, filed May 1, 2026.</w:t>
      </w:r>
    </w:p>
    <w:p>
      <w:pPr>
        <w:pStyle w:val="Compact"/>
        <w:numPr>
          <w:ilvl w:val="0"/>
          <w:numId w:val="1014"/>
        </w:numPr>
      </w:pPr>
      <w:r>
        <w:t xml:space="preserve">Sandisk Mizuho Technology Conference transcript, June 9, 2026.</w:t>
      </w:r>
    </w:p>
    <w:p>
      <w:pPr>
        <w:pStyle w:val="Compact"/>
        <w:numPr>
          <w:ilvl w:val="0"/>
          <w:numId w:val="1014"/>
        </w:numPr>
      </w:pPr>
      <w:r>
        <w:t xml:space="preserve">Sandisk earnings-date and Investor Day announcement, July 9,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2026-08-05T00:58:51Z</dcterms:created>
  <dcterms:modified xsi:type="dcterms:W3CDTF">2026-08-05T00:58:51Z</dcterms:modified>
</cp:coreProperties>
</file>

<file path=docProps/custom.xml><?xml version="1.0" encoding="utf-8"?>
<Properties xmlns="http://schemas.openxmlformats.org/officeDocument/2006/custom-properties" xmlns:vt="http://schemas.openxmlformats.org/officeDocument/2006/docPropsVTypes"/>
</file>