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dk-earnings-predictions--2026-08-05"/>
    <w:p>
      <w:pPr>
        <w:pStyle w:val="Heading1"/>
      </w:pPr>
      <w:r>
        <w:t xml:space="preserve">SNDK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~$9.35B vs. cons $8.71B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%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~81.5% vs. cons ~80.2%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Cloud/Data Center Revenue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~$3.15B vs. cons $2.66B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FY2027 Revenue (quarter ending Sep-26)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~$10-11B vs. cons UNVERIFIED (FY2027</w:t>
            </w:r>
            <w:r>
              <w:t xml:space="preserve"> </w:t>
            </w:r>
            <m:oMath>
              <m:r>
                <m:t>50.3</m:t>
              </m:r>
              <m:r>
                <m:t>B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 </m:t>
              </m:r>
            </m:oMath>
            <w:r>
              <w:t xml:space="preserve">12.6B/qtr avg)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NBM Bit Coverage FY2027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&gt;50% of FY2027 bits under contract vs. prior &gt;1/3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CY2026 Growth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raised to ~80%+ from mid-70s prior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STABILIZE - Q4 beat quality supports FY2027 estimates; Investor Day Aug 13 absorbs near-term guide disappointment; sell-side Q1 cuts are modest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2026-08-07T02:01:51Z</dcterms:created>
  <dcterms:modified xsi:type="dcterms:W3CDTF">2026-08-07T02:01:51Z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