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SanDisk Corporation (SNDK) — Q4 FY2026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SanDisk Corporation</w:t>
            </w:r>
          </w:p>
        </w:tc>
      </w:tr>
      <w:tr>
        <w:tc>
          <w:tcPr>
            <w:tcW w:type="dxa" w:w="4320"/>
          </w:tcPr>
          <w:p>
            <w:r>
              <w:rPr>
                <w:rFonts w:ascii="Calibri" w:hAnsi="Calibri"/>
                <w:b/>
                <w:sz w:val="22"/>
              </w:rPr>
              <w:t>Ticker</w:t>
            </w:r>
          </w:p>
        </w:tc>
        <w:tc>
          <w:tcPr>
            <w:tcW w:type="dxa" w:w="4320"/>
          </w:tcPr>
          <w:p>
            <w:r>
              <w:rPr>
                <w:rFonts w:ascii="Calibri" w:hAnsi="Calibri"/>
                <w:sz w:val="22"/>
              </w:rPr>
              <w:t>SNDK (NASDAQ)</w:t>
            </w:r>
          </w:p>
        </w:tc>
      </w:tr>
      <w:tr>
        <w:tc>
          <w:tcPr>
            <w:tcW w:type="dxa" w:w="4320"/>
          </w:tcPr>
          <w:p>
            <w:r>
              <w:rPr>
                <w:rFonts w:ascii="Calibri" w:hAnsi="Calibri"/>
                <w:b/>
                <w:sz w:val="22"/>
              </w:rPr>
              <w:t>Reporting Period</w:t>
            </w:r>
          </w:p>
        </w:tc>
        <w:tc>
          <w:tcPr>
            <w:tcW w:type="dxa" w:w="4320"/>
          </w:tcPr>
          <w:p>
            <w:r>
              <w:rPr>
                <w:rFonts w:ascii="Calibri" w:hAnsi="Calibri"/>
                <w:sz w:val="22"/>
              </w:rPr>
              <w:t>Q4 FY2026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5, 2026</w:t>
            </w:r>
          </w:p>
        </w:tc>
      </w:tr>
      <w:tr>
        <w:tc>
          <w:tcPr>
            <w:tcW w:type="dxa" w:w="4320"/>
          </w:tcPr>
          <w:p>
            <w:r>
              <w:rPr>
                <w:rFonts w:ascii="Calibri" w:hAnsi="Calibri"/>
                <w:b/>
                <w:sz w:val="22"/>
              </w:rPr>
              <w:t>Prepared</w:t>
            </w:r>
          </w:p>
        </w:tc>
        <w:tc>
          <w:tcPr>
            <w:tcW w:type="dxa" w:w="4320"/>
          </w:tcPr>
          <w:p>
            <w:r>
              <w:rPr>
                <w:rFonts w:ascii="Calibri" w:hAnsi="Calibri"/>
                <w:sz w:val="22"/>
              </w:rPr>
              <w:t>August 4, 2026</w:t>
            </w:r>
          </w:p>
        </w:tc>
      </w:tr>
      <w:tr>
        <w:tc>
          <w:tcPr>
            <w:tcW w:type="dxa" w:w="4320"/>
          </w:tcPr>
          <w:p>
            <w:r>
              <w:rPr>
                <w:rFonts w:ascii="Calibri" w:hAnsi="Calibri"/>
                <w:b/>
                <w:sz w:val="22"/>
              </w:rPr>
              <w:t>Last Earnings</w:t>
            </w:r>
          </w:p>
        </w:tc>
        <w:tc>
          <w:tcPr>
            <w:tcW w:type="dxa" w:w="4320"/>
          </w:tcPr>
          <w:p>
            <w:r>
              <w:rPr>
                <w:rFonts w:ascii="Calibri" w:hAnsi="Calibri"/>
                <w:sz w:val="22"/>
              </w:rPr>
              <w:t>April 30, 2026 (Q3 FY2026)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another beat, but the bar is now extraordinarily high — the single biggest swing factor is whether Q4 data center revenue and QLC Stargate shipment ramp can clear a consensus that has already been revised sharply higher since the April 30 blowout print.</w:t>
      </w:r>
    </w:p>
    <w:p>
      <w:r>
        <w:rPr>
          <w:rFonts w:ascii="Calibri" w:hAnsi="Calibri"/>
          <w:color w:val="525866"/>
          <w:sz w:val="22"/>
        </w:rPr>
        <w:t xml:space="preserve">Heading into SNDK's Q4 FY2026 print, the setup is constructive but complicated by an elevated bar. Consensus revenue of ~$8.7B sits well above the midpoint of management's $7.75–$8.25B guidance range, suggesting the Street has already baked in upside from the QLC Stargate shipment ramp and continued data center momentum — the estimate has been revised up ~7% since the post-earnings baseline. </w:t>
      </w:r>
      <w:r>
        <w:rPr>
          <w:rFonts w:ascii="Calibri" w:hAnsi="Calibri"/>
          <w:b/>
          <w:color w:val="525866"/>
          <w:sz w:val="22"/>
        </w:rPr>
        <w:t>Management's tone has been unambiguously bullish</w:t>
      </w:r>
      <w:r>
        <w:rPr>
          <w:rFonts w:ascii="Calibri" w:hAnsi="Calibri"/>
          <w:color w:val="525866"/>
          <w:sz w:val="22"/>
        </w:rPr>
        <w:t xml:space="preserve">: the company raised its CY2026 data center growth forecast for the fourth consecutive quarter (to mid-70s%), signed five multi-year NBM agreements covering &gt;1/3 of FY2027 bits with &gt;$11B in financial guarantees, and announced a $6B buyback. Yet the stock's failure to rally on the Q3 blowout signals that extraordinary beats are now the expected baseline. Estimate revisions have tracked guidance higher — EPS consensus jumped from ~$33 to ~$35.4 post-earnings — but the gap between consensus and the guidance midpoint ($31.50) is now wide, creating a scenario where the company must beat its own guidance meaningfully to surprise. The stock rallied ~113% from earnings to its late-June peak before a sharp -39% drawdown, suggesting sentiment has partially reset and the stock is no longer pricing in perfection. The key wildcard is the </w:t>
      </w:r>
      <w:r>
        <w:rPr>
          <w:rFonts w:ascii="Calibri" w:hAnsi="Calibri"/>
          <w:b/>
          <w:color w:val="525866"/>
          <w:sz w:val="22"/>
        </w:rPr>
        <w:t>pace of QLC Stargate revenue recognition</w:t>
      </w:r>
      <w:r>
        <w:rPr>
          <w:rFonts w:ascii="Calibri" w:hAnsi="Calibri"/>
          <w:color w:val="525866"/>
          <w:sz w:val="22"/>
        </w:rPr>
        <w:t xml:space="preserve"> — management guided to begin shipping for revenue in Q4, but the magnitude of that contribution is unknown and could be the decisive swing factor between a modest beat and another blowout.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is a high bar — revenue at ~$8.7B sits above the top of guidance ($8.25B), and EPS at ~$35.4 is well above the guidance midpoint of $31.50. The bigger swing factor is gross margin: at 79–81% guided, any upside surprise there (as in Q3 when actuals of ~78% crushed the 65–67% guide) would be the most powerful earnings driver.</w:t>
      </w:r>
    </w:p>
    <w:p>
      <w:pPr>
        <w:pStyle w:val="Heading3"/>
      </w:pPr>
      <w:r>
        <w:rPr>
          <w:rFonts w:ascii="Calibri" w:hAnsi="Calibri"/>
          <w:b/>
          <w:color w:val="3B4259"/>
          <w:sz w:val="24"/>
        </w:rPr>
        <w:t>Table 1 — Current Quarter Snapshot (Q4 FY2026)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Q3 FY2026 Actual (Last Qtr)</w:t>
            </w:r>
          </w:p>
        </w:tc>
        <w:tc>
          <w:tcPr>
            <w:tcW w:type="dxa" w:w="1234"/>
            <w:shd w:val="clear" w:color="auto" w:fill="3B4259"/>
          </w:tcPr>
          <w:p>
            <w:r>
              <w:rPr>
                <w:rFonts w:ascii="Calibri" w:hAnsi="Calibri"/>
                <w:b/>
                <w:color w:val="FFFFFF"/>
                <w:sz w:val="22"/>
              </w:rPr>
              <w:t>Q4 FY2025 Actual (Prior Year)</w:t>
            </w:r>
          </w:p>
        </w:tc>
        <w:tc>
          <w:tcPr>
            <w:tcW w:type="dxa" w:w="1234"/>
            <w:shd w:val="clear" w:color="auto" w:fill="3B4259"/>
          </w:tcPr>
          <w:p>
            <w:r>
              <w:rPr>
                <w:rFonts w:ascii="Calibri" w:hAnsi="Calibri"/>
                <w:b/>
                <w:color w:val="FFFFFF"/>
                <w:sz w:val="22"/>
              </w:rPr>
              <w:t>Q4 FY2026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Q4 FY2026 Guidance (Mgmt)</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($M)</w:t>
            </w:r>
          </w:p>
        </w:tc>
        <w:tc>
          <w:tcPr>
            <w:tcW w:type="dxa" w:w="1234"/>
          </w:tcPr>
          <w:p>
            <w:r>
              <w:rPr>
                <w:rFonts w:ascii="Calibri" w:hAnsi="Calibri"/>
                <w:sz w:val="22"/>
              </w:rPr>
              <w:t>$5,950</w:t>
            </w:r>
          </w:p>
        </w:tc>
        <w:tc>
          <w:tcPr>
            <w:tcW w:type="dxa" w:w="1234"/>
          </w:tcPr>
          <w:p>
            <w:r>
              <w:rPr>
                <w:rFonts w:ascii="Calibri" w:hAnsi="Calibri"/>
                <w:sz w:val="22"/>
              </w:rPr>
              <w:t>$1,901</w:t>
            </w:r>
          </w:p>
        </w:tc>
        <w:tc>
          <w:tcPr>
            <w:tcW w:type="dxa" w:w="1234"/>
          </w:tcPr>
          <w:p>
            <w:r>
              <w:rPr>
                <w:rFonts w:ascii="Calibri" w:hAnsi="Calibri"/>
                <w:sz w:val="22"/>
              </w:rPr>
              <w:t>$8,713</w:t>
            </w:r>
          </w:p>
        </w:tc>
        <w:tc>
          <w:tcPr>
            <w:tcW w:type="dxa" w:w="1234"/>
          </w:tcPr>
          <w:p>
            <w:r>
              <w:rPr>
                <w:rFonts w:ascii="Calibri" w:hAnsi="Calibri"/>
                <w:b/>
                <w:color w:val="30A46C"/>
                <w:sz w:val="22"/>
              </w:rPr>
              <w:t>+358% YoY</w:t>
            </w:r>
          </w:p>
        </w:tc>
        <w:tc>
          <w:tcPr>
            <w:tcW w:type="dxa" w:w="1234"/>
          </w:tcPr>
          <w:p>
            <w:r>
              <w:rPr>
                <w:rFonts w:ascii="Calibri" w:hAnsi="Calibri"/>
                <w:sz w:val="22"/>
              </w:rPr>
              <w:t>$7,750–$8,250</w:t>
            </w:r>
          </w:p>
        </w:tc>
        <w:tc>
          <w:tcPr>
            <w:tcW w:type="dxa" w:w="1234"/>
          </w:tcPr>
          <w:p>
            <w:r>
              <w:rPr>
                <w:rFonts w:ascii="Calibri" w:hAnsi="Calibri"/>
                <w:b/>
                <w:color w:val="E5484D"/>
                <w:sz w:val="22"/>
              </w:rPr>
              <w:t>+7.5% above midpoint</w:t>
            </w:r>
          </w:p>
        </w:tc>
      </w:tr>
      <w:tr>
        <w:tc>
          <w:tcPr>
            <w:tcW w:type="dxa" w:w="1234"/>
          </w:tcPr>
          <w:p>
            <w:r>
              <w:rPr>
                <w:rFonts w:ascii="Calibri" w:hAnsi="Calibri"/>
                <w:sz w:val="22"/>
              </w:rPr>
              <w:t>Non-GAAP EPS (Diluted)</w:t>
            </w:r>
          </w:p>
        </w:tc>
        <w:tc>
          <w:tcPr>
            <w:tcW w:type="dxa" w:w="1234"/>
          </w:tcPr>
          <w:p>
            <w:r>
              <w:rPr>
                <w:rFonts w:ascii="Calibri" w:hAnsi="Calibri"/>
                <w:sz w:val="22"/>
              </w:rPr>
              <w:t>$23.41</w:t>
            </w:r>
          </w:p>
        </w:tc>
        <w:tc>
          <w:tcPr>
            <w:tcW w:type="dxa" w:w="1234"/>
          </w:tcPr>
          <w:p>
            <w:r>
              <w:rPr>
                <w:rFonts w:ascii="Calibri" w:hAnsi="Calibri"/>
                <w:sz w:val="22"/>
              </w:rPr>
              <w:t>$0.29</w:t>
            </w:r>
          </w:p>
        </w:tc>
        <w:tc>
          <w:tcPr>
            <w:tcW w:type="dxa" w:w="1234"/>
          </w:tcPr>
          <w:p>
            <w:r>
              <w:rPr>
                <w:rFonts w:ascii="Calibri" w:hAnsi="Calibri"/>
                <w:sz w:val="22"/>
              </w:rPr>
              <w:t>$35.45</w:t>
            </w:r>
          </w:p>
        </w:tc>
        <w:tc>
          <w:tcPr>
            <w:tcW w:type="dxa" w:w="1234"/>
          </w:tcPr>
          <w:p>
            <w:r>
              <w:rPr>
                <w:rFonts w:ascii="Calibri" w:hAnsi="Calibri"/>
                <w:b/>
                <w:color w:val="30A46C"/>
                <w:sz w:val="22"/>
              </w:rPr>
              <w:t>+NM YoY</w:t>
            </w:r>
          </w:p>
        </w:tc>
        <w:tc>
          <w:tcPr>
            <w:tcW w:type="dxa" w:w="1234"/>
          </w:tcPr>
          <w:p>
            <w:r>
              <w:rPr>
                <w:rFonts w:ascii="Calibri" w:hAnsi="Calibri"/>
                <w:sz w:val="22"/>
              </w:rPr>
              <w:t>$30–$33</w:t>
            </w:r>
          </w:p>
        </w:tc>
        <w:tc>
          <w:tcPr>
            <w:tcW w:type="dxa" w:w="1234"/>
          </w:tcPr>
          <w:p>
            <w:r>
              <w:rPr>
                <w:rFonts w:ascii="Calibri" w:hAnsi="Calibri"/>
                <w:b/>
                <w:color w:val="E5484D"/>
                <w:sz w:val="22"/>
              </w:rPr>
              <w:t>+12.5% above midpoint</w:t>
            </w:r>
          </w:p>
        </w:tc>
      </w:tr>
      <w:tr>
        <w:tc>
          <w:tcPr>
            <w:tcW w:type="dxa" w:w="1234"/>
          </w:tcPr>
          <w:p>
            <w:r>
              <w:rPr>
                <w:rFonts w:ascii="Calibri" w:hAnsi="Calibri"/>
                <w:sz w:val="22"/>
              </w:rPr>
              <w:t>Non-GAAP Gross Profit ($M)</w:t>
            </w:r>
          </w:p>
        </w:tc>
        <w:tc>
          <w:tcPr>
            <w:tcW w:type="dxa" w:w="1234"/>
          </w:tcPr>
          <w:p>
            <w:r>
              <w:rPr>
                <w:rFonts w:ascii="Calibri" w:hAnsi="Calibri"/>
                <w:sz w:val="22"/>
              </w:rPr>
              <w:t>$4,666</w:t>
            </w:r>
          </w:p>
        </w:tc>
        <w:tc>
          <w:tcPr>
            <w:tcW w:type="dxa" w:w="1234"/>
          </w:tcPr>
          <w:p>
            <w:r>
              <w:rPr>
                <w:rFonts w:ascii="Calibri" w:hAnsi="Calibri"/>
                <w:sz w:val="22"/>
              </w:rPr>
              <w:t>$502</w:t>
            </w:r>
          </w:p>
        </w:tc>
        <w:tc>
          <w:tcPr>
            <w:tcW w:type="dxa" w:w="1234"/>
          </w:tcPr>
          <w:p>
            <w:r>
              <w:rPr>
                <w:rFonts w:ascii="Calibri" w:hAnsi="Calibri"/>
                <w:sz w:val="22"/>
              </w:rPr>
              <w:t>$6,990</w:t>
            </w:r>
          </w:p>
        </w:tc>
        <w:tc>
          <w:tcPr>
            <w:tcW w:type="dxa" w:w="1234"/>
          </w:tcPr>
          <w:p>
            <w:r>
              <w:rPr>
                <w:rFonts w:ascii="Calibri" w:hAnsi="Calibri"/>
                <w:b/>
                <w:color w:val="30A46C"/>
                <w:sz w:val="22"/>
              </w:rPr>
              <w:t>+NM YoY</w:t>
            </w:r>
          </w:p>
        </w:tc>
        <w:tc>
          <w:tcPr>
            <w:tcW w:type="dxa" w:w="1234"/>
          </w:tcPr>
          <w:p>
            <w:r>
              <w:rPr>
                <w:rFonts w:ascii="Calibri" w:hAnsi="Calibri"/>
                <w:sz w:val="22"/>
              </w:rPr>
              <w:t>79–81% GM</w:t>
            </w:r>
          </w:p>
        </w:tc>
        <w:tc>
          <w:tcPr>
            <w:tcW w:type="dxa" w:w="1234"/>
          </w:tcPr>
          <w:p>
            <w:r>
              <w:rPr>
                <w:rFonts w:ascii="Calibri" w:hAnsi="Calibri"/>
                <w:sz w:val="22"/>
              </w:rPr>
              <w:t>~$6,990M implies ~80.2% GM — in-line</w:t>
            </w:r>
          </w:p>
        </w:tc>
      </w:tr>
      <w:tr>
        <w:tc>
          <w:tcPr>
            <w:tcW w:type="dxa" w:w="1234"/>
          </w:tcPr>
          <w:p>
            <w:r>
              <w:rPr>
                <w:rFonts w:ascii="Calibri" w:hAnsi="Calibri"/>
                <w:sz w:val="22"/>
              </w:rPr>
              <w:t>Non-GAAP Operating Income ($M)</w:t>
            </w:r>
          </w:p>
        </w:tc>
        <w:tc>
          <w:tcPr>
            <w:tcW w:type="dxa" w:w="1234"/>
          </w:tcPr>
          <w:p>
            <w:r>
              <w:rPr>
                <w:rFonts w:ascii="Calibri" w:hAnsi="Calibri"/>
                <w:sz w:val="22"/>
              </w:rPr>
              <w:t>$4,218</w:t>
            </w:r>
          </w:p>
        </w:tc>
        <w:tc>
          <w:tcPr>
            <w:tcW w:type="dxa" w:w="1234"/>
          </w:tcPr>
          <w:p>
            <w:r>
              <w:rPr>
                <w:rFonts w:ascii="Calibri" w:hAnsi="Calibri"/>
                <w:sz w:val="22"/>
              </w:rPr>
              <w:t>$100</w:t>
            </w:r>
          </w:p>
        </w:tc>
        <w:tc>
          <w:tcPr>
            <w:tcW w:type="dxa" w:w="1234"/>
          </w:tcPr>
          <w:p>
            <w:r>
              <w:rPr>
                <w:rFonts w:ascii="Calibri" w:hAnsi="Calibri"/>
                <w:sz w:val="22"/>
              </w:rPr>
              <w:t>$6,481</w:t>
            </w:r>
          </w:p>
        </w:tc>
        <w:tc>
          <w:tcPr>
            <w:tcW w:type="dxa" w:w="1234"/>
          </w:tcPr>
          <w:p>
            <w:r>
              <w:rPr>
                <w:rFonts w:ascii="Calibri" w:hAnsi="Calibri"/>
                <w:b/>
                <w:color w:val="30A46C"/>
                <w:sz w:val="22"/>
              </w:rPr>
              <w:t>+NM YoY</w:t>
            </w:r>
          </w:p>
        </w:tc>
        <w:tc>
          <w:tcPr>
            <w:tcW w:type="dxa" w:w="1234"/>
          </w:tcPr>
          <w:p>
            <w:r>
              <w:rPr>
                <w:rFonts w:ascii="Calibri" w:hAnsi="Calibri"/>
                <w:sz w:val="22"/>
              </w:rPr>
              <w:t>Implied ~$6.0–$6.9B (GM guide less OpEx guide of $480–$500M)</w:t>
            </w:r>
          </w:p>
        </w:tc>
        <w:tc>
          <w:tcPr>
            <w:tcW w:type="dxa" w:w="1234"/>
          </w:tcPr>
          <w:p>
            <w:r>
              <w:rPr>
                <w:rFonts w:ascii="Calibri" w:hAnsi="Calibri"/>
                <w:sz w:val="22"/>
              </w:rPr>
              <w:t>~+3% above midpoint</w:t>
            </w:r>
          </w:p>
        </w:tc>
      </w:tr>
      <w:tr>
        <w:tc>
          <w:tcPr>
            <w:tcW w:type="dxa" w:w="1234"/>
          </w:tcPr>
          <w:p>
            <w:r>
              <w:rPr>
                <w:rFonts w:ascii="Calibri" w:hAnsi="Calibri"/>
                <w:sz w:val="22"/>
              </w:rPr>
              <w:t>Revenue — Cloud / Data Center ($M)</w:t>
            </w:r>
          </w:p>
        </w:tc>
        <w:tc>
          <w:tcPr>
            <w:tcW w:type="dxa" w:w="1234"/>
          </w:tcPr>
          <w:p>
            <w:r>
              <w:rPr>
                <w:rFonts w:ascii="Calibri" w:hAnsi="Calibri"/>
                <w:sz w:val="22"/>
              </w:rPr>
              <w:t>$1,467</w:t>
            </w:r>
          </w:p>
        </w:tc>
        <w:tc>
          <w:tcPr>
            <w:tcW w:type="dxa" w:w="1234"/>
          </w:tcPr>
          <w:p>
            <w:r>
              <w:rPr>
                <w:rFonts w:ascii="Calibri" w:hAnsi="Calibri"/>
                <w:sz w:val="22"/>
              </w:rPr>
              <w:t>$213</w:t>
            </w:r>
          </w:p>
        </w:tc>
        <w:tc>
          <w:tcPr>
            <w:tcW w:type="dxa" w:w="1234"/>
          </w:tcPr>
          <w:p>
            <w:r>
              <w:rPr>
                <w:rFonts w:ascii="Calibri" w:hAnsi="Calibri"/>
                <w:sz w:val="22"/>
              </w:rPr>
              <w:t>$2,659</w:t>
            </w:r>
          </w:p>
        </w:tc>
        <w:tc>
          <w:tcPr>
            <w:tcW w:type="dxa" w:w="1234"/>
          </w:tcPr>
          <w:p>
            <w:r>
              <w:rPr>
                <w:rFonts w:ascii="Calibri" w:hAnsi="Calibri"/>
                <w:b/>
                <w:color w:val="30A46C"/>
                <w:sz w:val="22"/>
              </w:rPr>
              <w:t>+NM YoY</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Revenue — Client / Edge ($M)</w:t>
            </w:r>
          </w:p>
        </w:tc>
        <w:tc>
          <w:tcPr>
            <w:tcW w:type="dxa" w:w="1234"/>
          </w:tcPr>
          <w:p>
            <w:r>
              <w:rPr>
                <w:rFonts w:ascii="Calibri" w:hAnsi="Calibri"/>
                <w:sz w:val="22"/>
              </w:rPr>
              <w:t>$3,663</w:t>
            </w:r>
          </w:p>
        </w:tc>
        <w:tc>
          <w:tcPr>
            <w:tcW w:type="dxa" w:w="1234"/>
          </w:tcPr>
          <w:p>
            <w:r>
              <w:rPr>
                <w:rFonts w:ascii="Calibri" w:hAnsi="Calibri"/>
                <w:sz w:val="22"/>
              </w:rPr>
              <w:t>$1,103</w:t>
            </w:r>
          </w:p>
        </w:tc>
        <w:tc>
          <w:tcPr>
            <w:tcW w:type="dxa" w:w="1234"/>
          </w:tcPr>
          <w:p>
            <w:r>
              <w:rPr>
                <w:rFonts w:ascii="Calibri" w:hAnsi="Calibri"/>
                <w:sz w:val="22"/>
              </w:rPr>
              <w:t>$4,954</w:t>
            </w:r>
          </w:p>
        </w:tc>
        <w:tc>
          <w:tcPr>
            <w:tcW w:type="dxa" w:w="1234"/>
          </w:tcPr>
          <w:p>
            <w:r>
              <w:rPr>
                <w:rFonts w:ascii="Calibri" w:hAnsi="Calibri"/>
                <w:b/>
                <w:color w:val="30A46C"/>
                <w:sz w:val="22"/>
              </w:rPr>
              <w:t>+349% YoY</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Revenue — Consumer ($M)</w:t>
            </w:r>
          </w:p>
        </w:tc>
        <w:tc>
          <w:tcPr>
            <w:tcW w:type="dxa" w:w="1234"/>
          </w:tcPr>
          <w:p>
            <w:r>
              <w:rPr>
                <w:rFonts w:ascii="Calibri" w:hAnsi="Calibri"/>
                <w:sz w:val="22"/>
              </w:rPr>
              <w:t>$820</w:t>
            </w:r>
          </w:p>
        </w:tc>
        <w:tc>
          <w:tcPr>
            <w:tcW w:type="dxa" w:w="1234"/>
          </w:tcPr>
          <w:p>
            <w:r>
              <w:rPr>
                <w:rFonts w:ascii="Calibri" w:hAnsi="Calibri"/>
                <w:sz w:val="22"/>
              </w:rPr>
              <w:t>$585</w:t>
            </w:r>
          </w:p>
        </w:tc>
        <w:tc>
          <w:tcPr>
            <w:tcW w:type="dxa" w:w="1234"/>
          </w:tcPr>
          <w:p>
            <w:r>
              <w:rPr>
                <w:rFonts w:ascii="Calibri" w:hAnsi="Calibri"/>
                <w:sz w:val="22"/>
              </w:rPr>
              <w:t>$901</w:t>
            </w:r>
          </w:p>
        </w:tc>
        <w:tc>
          <w:tcPr>
            <w:tcW w:type="dxa" w:w="1234"/>
          </w:tcPr>
          <w:p>
            <w:r>
              <w:rPr>
                <w:rFonts w:ascii="Calibri" w:hAnsi="Calibri"/>
                <w:b/>
                <w:color w:val="30A46C"/>
                <w:sz w:val="22"/>
              </w:rPr>
              <w:t>+54% YoY</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Bits ASP ($/GB)</w:t>
            </w:r>
          </w:p>
        </w:tc>
        <w:tc>
          <w:tcPr>
            <w:tcW w:type="dxa" w:w="1234"/>
          </w:tcPr>
          <w:p>
            <w:r>
              <w:rPr>
                <w:rFonts w:ascii="Calibri" w:hAnsi="Calibri"/>
                <w:sz w:val="22"/>
              </w:rPr>
              <w:t>$0.200</w:t>
            </w:r>
          </w:p>
        </w:tc>
        <w:tc>
          <w:tcPr>
            <w:tcW w:type="dxa" w:w="1234"/>
          </w:tcPr>
          <w:p>
            <w:r>
              <w:rPr>
                <w:rFonts w:ascii="Calibri" w:hAnsi="Calibri"/>
                <w:sz w:val="22"/>
              </w:rPr>
              <w:t>$0.057</w:t>
            </w:r>
          </w:p>
        </w:tc>
        <w:tc>
          <w:tcPr>
            <w:tcW w:type="dxa" w:w="1234"/>
          </w:tcPr>
          <w:p>
            <w:r>
              <w:rPr>
                <w:rFonts w:ascii="Calibri" w:hAnsi="Calibri"/>
                <w:sz w:val="22"/>
              </w:rPr>
              <w:t>$0.263</w:t>
            </w:r>
          </w:p>
        </w:tc>
        <w:tc>
          <w:tcPr>
            <w:tcW w:type="dxa" w:w="1234"/>
          </w:tcPr>
          <w:p>
            <w:r>
              <w:rPr>
                <w:rFonts w:ascii="Calibri" w:hAnsi="Calibri"/>
                <w:b/>
                <w:color w:val="30A46C"/>
                <w:sz w:val="22"/>
              </w:rPr>
              <w:t>+361% YoY</w:t>
            </w:r>
          </w:p>
        </w:tc>
        <w:tc>
          <w:tcPr>
            <w:tcW w:type="dxa" w:w="1234"/>
          </w:tcPr>
          <w:p>
            <w:r>
              <w:rPr>
                <w:rFonts w:ascii="Calibri" w:hAnsi="Calibri"/>
                <w:sz w:val="22"/>
              </w:rPr>
              <w:t>Higher pricing guided</w:t>
            </w:r>
          </w:p>
        </w:tc>
        <w:tc>
          <w:tcPr>
            <w:tcW w:type="dxa" w:w="1234"/>
          </w:tcPr>
          <w:p>
            <w:r>
              <w:rPr>
                <w:rFonts w:ascii="Calibri" w:hAnsi="Calibri"/>
                <w:sz w:val="22"/>
              </w:rPr>
              <w:t>N/A</w:t>
            </w:r>
          </w:p>
        </w:tc>
      </w:tr>
      <w:tr>
        <w:tc>
          <w:tcPr>
            <w:tcW w:type="dxa" w:w="1234"/>
          </w:tcPr>
          <w:p>
            <w:r>
              <w:rPr>
                <w:rFonts w:ascii="Calibri" w:hAnsi="Calibri"/>
                <w:sz w:val="22"/>
              </w:rPr>
              <w:t>Bit Shipments (M GB)</w:t>
            </w:r>
          </w:p>
        </w:tc>
        <w:tc>
          <w:tcPr>
            <w:tcW w:type="dxa" w:w="1234"/>
          </w:tcPr>
          <w:p>
            <w:r>
              <w:rPr>
                <w:rFonts w:ascii="Calibri" w:hAnsi="Calibri"/>
                <w:sz w:val="22"/>
              </w:rPr>
              <w:t>30,085</w:t>
            </w:r>
          </w:p>
        </w:tc>
        <w:tc>
          <w:tcPr>
            <w:tcW w:type="dxa" w:w="1234"/>
          </w:tcPr>
          <w:p>
            <w:r>
              <w:rPr>
                <w:rFonts w:ascii="Calibri" w:hAnsi="Calibri"/>
                <w:sz w:val="22"/>
              </w:rPr>
              <w:t>30,641</w:t>
            </w:r>
          </w:p>
        </w:tc>
        <w:tc>
          <w:tcPr>
            <w:tcW w:type="dxa" w:w="1234"/>
          </w:tcPr>
          <w:p>
            <w:r>
              <w:rPr>
                <w:rFonts w:ascii="Calibri" w:hAnsi="Calibri"/>
                <w:sz w:val="22"/>
              </w:rPr>
              <w:t>34,905</w:t>
            </w:r>
          </w:p>
        </w:tc>
        <w:tc>
          <w:tcPr>
            <w:tcW w:type="dxa" w:w="1234"/>
          </w:tcPr>
          <w:p>
            <w:r>
              <w:rPr>
                <w:rFonts w:ascii="Calibri" w:hAnsi="Calibri"/>
                <w:b/>
                <w:color w:val="30A46C"/>
                <w:sz w:val="22"/>
              </w:rPr>
              <w:t>+14% YoY</w:t>
            </w:r>
          </w:p>
        </w:tc>
        <w:tc>
          <w:tcPr>
            <w:tcW w:type="dxa" w:w="1234"/>
          </w:tcPr>
          <w:p>
            <w:r>
              <w:rPr>
                <w:rFonts w:ascii="Calibri" w:hAnsi="Calibri"/>
                <w:sz w:val="22"/>
              </w:rPr>
              <w:t>Bits growth guided</w:t>
            </w:r>
          </w:p>
        </w:tc>
        <w:tc>
          <w:tcPr>
            <w:tcW w:type="dxa" w:w="1234"/>
          </w:tcPr>
          <w:p>
            <w:r>
              <w:rPr>
                <w:rFonts w:ascii="Calibri" w:hAnsi="Calibri"/>
                <w:sz w:val="22"/>
              </w:rPr>
              <w:t>N/A</w:t>
            </w:r>
          </w:p>
        </w:tc>
      </w:tr>
    </w:tbl>
    <w:p>
      <w:r>
        <w:rPr>
          <w:rFonts w:ascii="Calibri" w:hAnsi="Calibri"/>
          <w:color w:val="525866"/>
          <w:sz w:val="22"/>
        </w:rPr>
        <w:t>Source: Visible Alpha consensus and actuals data. Q4 FY2026 guidance from SNDK Q3 FY2026 earnings call (April 30, 2026). YoY comparisons use Q4 FY2025 actuals (quarter ended June 30, 2025). NM = not meaningful (prior year near zero or negative).</w:t>
      </w:r>
    </w:p>
    <w:p>
      <w:pPr>
        <w:pStyle w:val="Heading3"/>
      </w:pPr>
      <w:r>
        <w:rPr>
          <w:rFonts w:ascii="Calibri" w:hAnsi="Calibri"/>
          <w:b/>
          <w:color w:val="3B4259"/>
          <w:sz w:val="24"/>
        </w:rPr>
        <w:t>Table 2 — Beat/Miss History (Last 8 Quarters, Top 2 KPIs)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FY2026</w:t>
            </w:r>
          </w:p>
        </w:tc>
        <w:tc>
          <w:tcPr>
            <w:tcW w:type="dxa" w:w="1440"/>
          </w:tcPr>
          <w:p>
            <w:r>
              <w:rPr>
                <w:rFonts w:ascii="Calibri" w:hAnsi="Calibri"/>
                <w:sz w:val="22"/>
              </w:rPr>
              <w:t>Revenue ($M)</w:t>
            </w:r>
          </w:p>
        </w:tc>
        <w:tc>
          <w:tcPr>
            <w:tcW w:type="dxa" w:w="1440"/>
          </w:tcPr>
          <w:p>
            <w:r>
              <w:rPr>
                <w:rFonts w:ascii="Calibri" w:hAnsi="Calibri"/>
                <w:sz w:val="22"/>
              </w:rPr>
              <w:t>$5,950</w:t>
            </w:r>
          </w:p>
        </w:tc>
        <w:tc>
          <w:tcPr>
            <w:tcW w:type="dxa" w:w="1440"/>
          </w:tcPr>
          <w:p>
            <w:r>
              <w:rPr>
                <w:rFonts w:ascii="Calibri" w:hAnsi="Calibri"/>
                <w:sz w:val="22"/>
              </w:rPr>
              <w:t>$4,781</w:t>
            </w:r>
          </w:p>
        </w:tc>
        <w:tc>
          <w:tcPr>
            <w:tcW w:type="dxa" w:w="1440"/>
          </w:tcPr>
          <w:p>
            <w:r>
              <w:rPr>
                <w:rFonts w:ascii="Calibri" w:hAnsi="Calibri"/>
                <w:b/>
                <w:color w:val="30A46C"/>
                <w:sz w:val="22"/>
              </w:rPr>
              <w:t>+24.5%</w:t>
            </w:r>
          </w:p>
        </w:tc>
        <w:tc>
          <w:tcPr>
            <w:tcW w:type="dxa" w:w="1440"/>
          </w:tcPr>
          <w:p>
            <w:r>
              <w:rPr>
                <w:rFonts w:ascii="Calibri" w:hAnsi="Calibri"/>
                <w:sz w:val="22"/>
              </w:rPr>
              <w:t>BEAT</w:t>
            </w:r>
          </w:p>
        </w:tc>
      </w:tr>
      <w:tr>
        <w:tc>
          <w:tcPr>
            <w:tcW w:type="dxa" w:w="1440"/>
          </w:tcPr>
          <w:p>
            <w:r>
              <w:rPr>
                <w:rFonts w:ascii="Calibri" w:hAnsi="Calibri"/>
                <w:sz w:val="22"/>
              </w:rPr>
              <w:t>Q3 FY2026</w:t>
            </w:r>
          </w:p>
        </w:tc>
        <w:tc>
          <w:tcPr>
            <w:tcW w:type="dxa" w:w="1440"/>
          </w:tcPr>
          <w:p>
            <w:r>
              <w:rPr>
                <w:rFonts w:ascii="Calibri" w:hAnsi="Calibri"/>
                <w:sz w:val="22"/>
              </w:rPr>
              <w:t>Non-GAAP EPS</w:t>
            </w:r>
          </w:p>
        </w:tc>
        <w:tc>
          <w:tcPr>
            <w:tcW w:type="dxa" w:w="1440"/>
          </w:tcPr>
          <w:p>
            <w:r>
              <w:rPr>
                <w:rFonts w:ascii="Calibri" w:hAnsi="Calibri"/>
                <w:sz w:val="22"/>
              </w:rPr>
              <w:t>$23.41</w:t>
            </w:r>
          </w:p>
        </w:tc>
        <w:tc>
          <w:tcPr>
            <w:tcW w:type="dxa" w:w="1440"/>
          </w:tcPr>
          <w:p>
            <w:r>
              <w:rPr>
                <w:rFonts w:ascii="Calibri" w:hAnsi="Calibri"/>
                <w:sz w:val="22"/>
              </w:rPr>
              <w:t>$15.11</w:t>
            </w:r>
          </w:p>
        </w:tc>
        <w:tc>
          <w:tcPr>
            <w:tcW w:type="dxa" w:w="1440"/>
          </w:tcPr>
          <w:p>
            <w:r>
              <w:rPr>
                <w:rFonts w:ascii="Calibri" w:hAnsi="Calibri"/>
                <w:b/>
                <w:color w:val="30A46C"/>
                <w:sz w:val="22"/>
              </w:rPr>
              <w:t>+55.0%</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Revenue ($M)</w:t>
            </w:r>
          </w:p>
        </w:tc>
        <w:tc>
          <w:tcPr>
            <w:tcW w:type="dxa" w:w="1440"/>
          </w:tcPr>
          <w:p>
            <w:r>
              <w:rPr>
                <w:rFonts w:ascii="Calibri" w:hAnsi="Calibri"/>
                <w:sz w:val="22"/>
              </w:rPr>
              <w:t>$3,025</w:t>
            </w:r>
          </w:p>
        </w:tc>
        <w:tc>
          <w:tcPr>
            <w:tcW w:type="dxa" w:w="1440"/>
          </w:tcPr>
          <w:p>
            <w:r>
              <w:rPr>
                <w:rFonts w:ascii="Calibri" w:hAnsi="Calibri"/>
                <w:sz w:val="22"/>
              </w:rPr>
              <w:t>$2,689</w:t>
            </w:r>
          </w:p>
        </w:tc>
        <w:tc>
          <w:tcPr>
            <w:tcW w:type="dxa" w:w="1440"/>
          </w:tcPr>
          <w:p>
            <w:r>
              <w:rPr>
                <w:rFonts w:ascii="Calibri" w:hAnsi="Calibri"/>
                <w:b/>
                <w:color w:val="30A46C"/>
                <w:sz w:val="22"/>
              </w:rPr>
              <w:t>+12.5%</w:t>
            </w:r>
          </w:p>
        </w:tc>
        <w:tc>
          <w:tcPr>
            <w:tcW w:type="dxa" w:w="1440"/>
          </w:tcPr>
          <w:p>
            <w:r>
              <w:rPr>
                <w:rFonts w:ascii="Calibri" w:hAnsi="Calibri"/>
                <w:sz w:val="22"/>
              </w:rPr>
              <w:t>BEAT</w:t>
            </w:r>
          </w:p>
        </w:tc>
      </w:tr>
      <w:tr>
        <w:tc>
          <w:tcPr>
            <w:tcW w:type="dxa" w:w="1440"/>
          </w:tcPr>
          <w:p>
            <w:r>
              <w:rPr>
                <w:rFonts w:ascii="Calibri" w:hAnsi="Calibri"/>
                <w:sz w:val="22"/>
              </w:rPr>
              <w:t>Q2 FY2026</w:t>
            </w:r>
          </w:p>
        </w:tc>
        <w:tc>
          <w:tcPr>
            <w:tcW w:type="dxa" w:w="1440"/>
          </w:tcPr>
          <w:p>
            <w:r>
              <w:rPr>
                <w:rFonts w:ascii="Calibri" w:hAnsi="Calibri"/>
                <w:sz w:val="22"/>
              </w:rPr>
              <w:t>Non-GAAP EPS</w:t>
            </w:r>
          </w:p>
        </w:tc>
        <w:tc>
          <w:tcPr>
            <w:tcW w:type="dxa" w:w="1440"/>
          </w:tcPr>
          <w:p>
            <w:r>
              <w:rPr>
                <w:rFonts w:ascii="Calibri" w:hAnsi="Calibri"/>
                <w:sz w:val="22"/>
              </w:rPr>
              <w:t>$6.20</w:t>
            </w:r>
          </w:p>
        </w:tc>
        <w:tc>
          <w:tcPr>
            <w:tcW w:type="dxa" w:w="1440"/>
          </w:tcPr>
          <w:p>
            <w:r>
              <w:rPr>
                <w:rFonts w:ascii="Calibri" w:hAnsi="Calibri"/>
                <w:sz w:val="22"/>
              </w:rPr>
              <w:t>$3.59</w:t>
            </w:r>
          </w:p>
        </w:tc>
        <w:tc>
          <w:tcPr>
            <w:tcW w:type="dxa" w:w="1440"/>
          </w:tcPr>
          <w:p>
            <w:r>
              <w:rPr>
                <w:rFonts w:ascii="Calibri" w:hAnsi="Calibri"/>
                <w:b/>
                <w:color w:val="30A46C"/>
                <w:sz w:val="22"/>
              </w:rPr>
              <w:t>+72.7%</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Revenue ($M)</w:t>
            </w:r>
          </w:p>
        </w:tc>
        <w:tc>
          <w:tcPr>
            <w:tcW w:type="dxa" w:w="1440"/>
          </w:tcPr>
          <w:p>
            <w:r>
              <w:rPr>
                <w:rFonts w:ascii="Calibri" w:hAnsi="Calibri"/>
                <w:sz w:val="22"/>
              </w:rPr>
              <w:t>$2,308</w:t>
            </w:r>
          </w:p>
        </w:tc>
        <w:tc>
          <w:tcPr>
            <w:tcW w:type="dxa" w:w="1440"/>
          </w:tcPr>
          <w:p>
            <w:r>
              <w:rPr>
                <w:rFonts w:ascii="Calibri" w:hAnsi="Calibri"/>
                <w:sz w:val="22"/>
              </w:rPr>
              <w:t>$2,166</w:t>
            </w:r>
          </w:p>
        </w:tc>
        <w:tc>
          <w:tcPr>
            <w:tcW w:type="dxa" w:w="1440"/>
          </w:tcPr>
          <w:p>
            <w:r>
              <w:rPr>
                <w:rFonts w:ascii="Calibri" w:hAnsi="Calibri"/>
                <w:b/>
                <w:color w:val="30A46C"/>
                <w:sz w:val="22"/>
              </w:rPr>
              <w:t>+6.6%</w:t>
            </w:r>
          </w:p>
        </w:tc>
        <w:tc>
          <w:tcPr>
            <w:tcW w:type="dxa" w:w="1440"/>
          </w:tcPr>
          <w:p>
            <w:r>
              <w:rPr>
                <w:rFonts w:ascii="Calibri" w:hAnsi="Calibri"/>
                <w:sz w:val="22"/>
              </w:rPr>
              <w:t>BEAT</w:t>
            </w:r>
          </w:p>
        </w:tc>
      </w:tr>
      <w:tr>
        <w:tc>
          <w:tcPr>
            <w:tcW w:type="dxa" w:w="1440"/>
          </w:tcPr>
          <w:p>
            <w:r>
              <w:rPr>
                <w:rFonts w:ascii="Calibri" w:hAnsi="Calibri"/>
                <w:sz w:val="22"/>
              </w:rPr>
              <w:t>Q1 FY2026</w:t>
            </w:r>
          </w:p>
        </w:tc>
        <w:tc>
          <w:tcPr>
            <w:tcW w:type="dxa" w:w="1440"/>
          </w:tcPr>
          <w:p>
            <w:r>
              <w:rPr>
                <w:rFonts w:ascii="Calibri" w:hAnsi="Calibri"/>
                <w:sz w:val="22"/>
              </w:rPr>
              <w:t>Non-GAAP EPS</w:t>
            </w:r>
          </w:p>
        </w:tc>
        <w:tc>
          <w:tcPr>
            <w:tcW w:type="dxa" w:w="1440"/>
          </w:tcPr>
          <w:p>
            <w:r>
              <w:rPr>
                <w:rFonts w:ascii="Calibri" w:hAnsi="Calibri"/>
                <w:sz w:val="22"/>
              </w:rPr>
              <w:t>$1.22</w:t>
            </w:r>
          </w:p>
        </w:tc>
        <w:tc>
          <w:tcPr>
            <w:tcW w:type="dxa" w:w="1440"/>
          </w:tcPr>
          <w:p>
            <w:r>
              <w:rPr>
                <w:rFonts w:ascii="Calibri" w:hAnsi="Calibri"/>
                <w:sz w:val="22"/>
              </w:rPr>
              <w:t>$0.90</w:t>
            </w:r>
          </w:p>
        </w:tc>
        <w:tc>
          <w:tcPr>
            <w:tcW w:type="dxa" w:w="1440"/>
          </w:tcPr>
          <w:p>
            <w:r>
              <w:rPr>
                <w:rFonts w:ascii="Calibri" w:hAnsi="Calibri"/>
                <w:b/>
                <w:color w:val="30A46C"/>
                <w:sz w:val="22"/>
              </w:rPr>
              <w:t>+35.6%</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Revenue ($M)</w:t>
            </w:r>
          </w:p>
        </w:tc>
        <w:tc>
          <w:tcPr>
            <w:tcW w:type="dxa" w:w="1440"/>
          </w:tcPr>
          <w:p>
            <w:r>
              <w:rPr>
                <w:rFonts w:ascii="Calibri" w:hAnsi="Calibri"/>
                <w:sz w:val="22"/>
              </w:rPr>
              <w:t>$1,901</w:t>
            </w:r>
          </w:p>
        </w:tc>
        <w:tc>
          <w:tcPr>
            <w:tcW w:type="dxa" w:w="1440"/>
          </w:tcPr>
          <w:p>
            <w:r>
              <w:rPr>
                <w:rFonts w:ascii="Calibri" w:hAnsi="Calibri"/>
                <w:sz w:val="22"/>
              </w:rPr>
              <w:t>$1,819</w:t>
            </w:r>
          </w:p>
        </w:tc>
        <w:tc>
          <w:tcPr>
            <w:tcW w:type="dxa" w:w="1440"/>
          </w:tcPr>
          <w:p>
            <w:r>
              <w:rPr>
                <w:rFonts w:ascii="Calibri" w:hAnsi="Calibri"/>
                <w:b/>
                <w:color w:val="30A46C"/>
                <w:sz w:val="22"/>
              </w:rPr>
              <w:t>+4.5%</w:t>
            </w:r>
          </w:p>
        </w:tc>
        <w:tc>
          <w:tcPr>
            <w:tcW w:type="dxa" w:w="1440"/>
          </w:tcPr>
          <w:p>
            <w:r>
              <w:rPr>
                <w:rFonts w:ascii="Calibri" w:hAnsi="Calibri"/>
                <w:sz w:val="22"/>
              </w:rPr>
              <w:t>BEAT</w:t>
            </w:r>
          </w:p>
        </w:tc>
      </w:tr>
      <w:tr>
        <w:tc>
          <w:tcPr>
            <w:tcW w:type="dxa" w:w="1440"/>
          </w:tcPr>
          <w:p>
            <w:r>
              <w:rPr>
                <w:rFonts w:ascii="Calibri" w:hAnsi="Calibri"/>
                <w:sz w:val="22"/>
              </w:rPr>
              <w:t>Q4 FY2025</w:t>
            </w:r>
          </w:p>
        </w:tc>
        <w:tc>
          <w:tcPr>
            <w:tcW w:type="dxa" w:w="1440"/>
          </w:tcPr>
          <w:p>
            <w:r>
              <w:rPr>
                <w:rFonts w:ascii="Calibri" w:hAnsi="Calibri"/>
                <w:sz w:val="22"/>
              </w:rPr>
              <w:t>Non-GAAP EPS</w:t>
            </w:r>
          </w:p>
        </w:tc>
        <w:tc>
          <w:tcPr>
            <w:tcW w:type="dxa" w:w="1440"/>
          </w:tcPr>
          <w:p>
            <w:r>
              <w:rPr>
                <w:rFonts w:ascii="Calibri" w:hAnsi="Calibri"/>
                <w:sz w:val="22"/>
              </w:rPr>
              <w:t>$0.29</w:t>
            </w:r>
          </w:p>
        </w:tc>
        <w:tc>
          <w:tcPr>
            <w:tcW w:type="dxa" w:w="1440"/>
          </w:tcPr>
          <w:p>
            <w:r>
              <w:rPr>
                <w:rFonts w:ascii="Calibri" w:hAnsi="Calibri"/>
                <w:sz w:val="22"/>
              </w:rPr>
              <w:t>$0.07</w:t>
            </w:r>
          </w:p>
        </w:tc>
        <w:tc>
          <w:tcPr>
            <w:tcW w:type="dxa" w:w="1440"/>
          </w:tcPr>
          <w:p>
            <w:r>
              <w:rPr>
                <w:rFonts w:ascii="Calibri" w:hAnsi="Calibri"/>
                <w:b/>
                <w:color w:val="30A46C"/>
                <w:sz w:val="22"/>
              </w:rPr>
              <w:t>+314%</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Revenue ($M)</w:t>
            </w:r>
          </w:p>
        </w:tc>
        <w:tc>
          <w:tcPr>
            <w:tcW w:type="dxa" w:w="1440"/>
          </w:tcPr>
          <w:p>
            <w:r>
              <w:rPr>
                <w:rFonts w:ascii="Calibri" w:hAnsi="Calibri"/>
                <w:sz w:val="22"/>
              </w:rPr>
              <w:t>$1,695</w:t>
            </w:r>
          </w:p>
        </w:tc>
        <w:tc>
          <w:tcPr>
            <w:tcW w:type="dxa" w:w="1440"/>
          </w:tcPr>
          <w:p>
            <w:r>
              <w:rPr>
                <w:rFonts w:ascii="Calibri" w:hAnsi="Calibri"/>
                <w:sz w:val="22"/>
              </w:rPr>
              <w:t>$1,600</w:t>
            </w:r>
          </w:p>
        </w:tc>
        <w:tc>
          <w:tcPr>
            <w:tcW w:type="dxa" w:w="1440"/>
          </w:tcPr>
          <w:p>
            <w:r>
              <w:rPr>
                <w:rFonts w:ascii="Calibri" w:hAnsi="Calibri"/>
                <w:b/>
                <w:color w:val="30A46C"/>
                <w:sz w:val="22"/>
              </w:rPr>
              <w:t>+5.9%</w:t>
            </w:r>
          </w:p>
        </w:tc>
        <w:tc>
          <w:tcPr>
            <w:tcW w:type="dxa" w:w="1440"/>
          </w:tcPr>
          <w:p>
            <w:r>
              <w:rPr>
                <w:rFonts w:ascii="Calibri" w:hAnsi="Calibri"/>
                <w:sz w:val="22"/>
              </w:rPr>
              <w:t>BEAT</w:t>
            </w:r>
          </w:p>
        </w:tc>
      </w:tr>
      <w:tr>
        <w:tc>
          <w:tcPr>
            <w:tcW w:type="dxa" w:w="1440"/>
          </w:tcPr>
          <w:p>
            <w:r>
              <w:rPr>
                <w:rFonts w:ascii="Calibri" w:hAnsi="Calibri"/>
                <w:sz w:val="22"/>
              </w:rPr>
              <w:t>Q3 FY2025</w:t>
            </w:r>
          </w:p>
        </w:tc>
        <w:tc>
          <w:tcPr>
            <w:tcW w:type="dxa" w:w="1440"/>
          </w:tcPr>
          <w:p>
            <w:r>
              <w:rPr>
                <w:rFonts w:ascii="Calibri" w:hAnsi="Calibri"/>
                <w:sz w:val="22"/>
              </w:rPr>
              <w:t>Non-GAAP EPS</w:t>
            </w:r>
          </w:p>
        </w:tc>
        <w:tc>
          <w:tcPr>
            <w:tcW w:type="dxa" w:w="1440"/>
          </w:tcPr>
          <w:p>
            <w:r>
              <w:rPr>
                <w:rFonts w:ascii="Calibri" w:hAnsi="Calibri"/>
                <w:sz w:val="22"/>
              </w:rPr>
              <w:t>-$0.30</w:t>
            </w:r>
          </w:p>
        </w:tc>
        <w:tc>
          <w:tcPr>
            <w:tcW w:type="dxa" w:w="1440"/>
          </w:tcPr>
          <w:p>
            <w:r>
              <w:rPr>
                <w:rFonts w:ascii="Calibri" w:hAnsi="Calibri"/>
                <w:sz w:val="22"/>
              </w:rPr>
              <w:t>-$0.36</w:t>
            </w:r>
          </w:p>
        </w:tc>
        <w:tc>
          <w:tcPr>
            <w:tcW w:type="dxa" w:w="1440"/>
          </w:tcPr>
          <w:p>
            <w:r>
              <w:rPr>
                <w:rFonts w:ascii="Calibri" w:hAnsi="Calibri"/>
                <w:b/>
                <w:color w:val="30A46C"/>
                <w:sz w:val="22"/>
              </w:rPr>
              <w:t>+17.0%</w:t>
            </w:r>
          </w:p>
        </w:tc>
        <w:tc>
          <w:tcPr>
            <w:tcW w:type="dxa" w:w="1440"/>
          </w:tcPr>
          <w:p>
            <w:r>
              <w:rPr>
                <w:rFonts w:ascii="Calibri" w:hAnsi="Calibri"/>
                <w:sz w:val="22"/>
              </w:rPr>
              <w:t>BEAT</w:t>
            </w:r>
          </w:p>
        </w:tc>
      </w:tr>
      <w:tr>
        <w:tc>
          <w:tcPr>
            <w:tcW w:type="dxa" w:w="1440"/>
          </w:tcPr>
          <w:p>
            <w:r>
              <w:rPr>
                <w:rFonts w:ascii="Calibri" w:hAnsi="Calibri"/>
                <w:sz w:val="22"/>
              </w:rPr>
              <w:t>Q2 FY2025</w:t>
            </w:r>
          </w:p>
        </w:tc>
        <w:tc>
          <w:tcPr>
            <w:tcW w:type="dxa" w:w="1440"/>
          </w:tcPr>
          <w:p>
            <w:r>
              <w:rPr>
                <w:rFonts w:ascii="Calibri" w:hAnsi="Calibri"/>
                <w:sz w:val="22"/>
              </w:rPr>
              <w:t>Revenue ($M)</w:t>
            </w:r>
          </w:p>
        </w:tc>
        <w:tc>
          <w:tcPr>
            <w:tcW w:type="dxa" w:w="1440"/>
          </w:tcPr>
          <w:p>
            <w:r>
              <w:rPr>
                <w:rFonts w:ascii="Calibri" w:hAnsi="Calibri"/>
                <w:sz w:val="22"/>
              </w:rPr>
              <w:t>$1,876</w:t>
            </w:r>
          </w:p>
        </w:tc>
        <w:tc>
          <w:tcPr>
            <w:tcW w:type="dxa" w:w="1440"/>
          </w:tcPr>
          <w:p>
            <w:r>
              <w:rPr>
                <w:rFonts w:ascii="Calibri" w:hAnsi="Calibri"/>
                <w:sz w:val="22"/>
              </w:rPr>
              <w:t>$1,876</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Q2 FY2025</w:t>
            </w:r>
          </w:p>
        </w:tc>
        <w:tc>
          <w:tcPr>
            <w:tcW w:type="dxa" w:w="1440"/>
          </w:tcPr>
          <w:p>
            <w:r>
              <w:rPr>
                <w:rFonts w:ascii="Calibri" w:hAnsi="Calibri"/>
                <w:sz w:val="22"/>
              </w:rPr>
              <w:t>Non-GAAP EPS</w:t>
            </w:r>
          </w:p>
        </w:tc>
        <w:tc>
          <w:tcPr>
            <w:tcW w:type="dxa" w:w="1440"/>
          </w:tcPr>
          <w:p>
            <w:r>
              <w:rPr>
                <w:rFonts w:ascii="Calibri" w:hAnsi="Calibri"/>
                <w:sz w:val="22"/>
              </w:rPr>
              <w:t>$1.23</w:t>
            </w:r>
          </w:p>
        </w:tc>
        <w:tc>
          <w:tcPr>
            <w:tcW w:type="dxa" w:w="1440"/>
          </w:tcPr>
          <w:p>
            <w:r>
              <w:rPr>
                <w:rFonts w:ascii="Calibri" w:hAnsi="Calibri"/>
                <w:sz w:val="22"/>
              </w:rPr>
              <w:t>$1.18</w:t>
            </w:r>
          </w:p>
        </w:tc>
        <w:tc>
          <w:tcPr>
            <w:tcW w:type="dxa" w:w="1440"/>
          </w:tcPr>
          <w:p>
            <w:r>
              <w:rPr>
                <w:rFonts w:ascii="Calibri" w:hAnsi="Calibri"/>
                <w:b/>
                <w:color w:val="30A46C"/>
                <w:sz w:val="22"/>
              </w:rPr>
              <w:t>+4.2%</w:t>
            </w:r>
          </w:p>
        </w:tc>
        <w:tc>
          <w:tcPr>
            <w:tcW w:type="dxa" w:w="1440"/>
          </w:tcPr>
          <w:p>
            <w:r>
              <w:rPr>
                <w:rFonts w:ascii="Calibri" w:hAnsi="Calibri"/>
                <w:sz w:val="22"/>
              </w:rPr>
              <w:t>BEAT</w:t>
            </w:r>
          </w:p>
        </w:tc>
      </w:tr>
    </w:tbl>
    <w:p>
      <w:r>
        <w:rPr>
          <w:rFonts w:ascii="Calibri" w:hAnsi="Calibri"/>
          <w:b/>
          <w:color w:val="525866"/>
          <w:sz w:val="22"/>
        </w:rPr>
        <w:t xml:space="preserve">Pattern: </w:t>
      </w:r>
      <w:r>
        <w:rPr>
          <w:rFonts w:ascii="Calibri" w:hAnsi="Calibri"/>
          <w:color w:val="525866"/>
          <w:sz w:val="22"/>
        </w:rPr>
        <w:t>SNDK has beaten consensus on both revenue and EPS in every quarter since its spinoff, with beat magnitudes accelerating dramatically — from low-single-digit revenue beats in early quarters to +24.5% in Q3 FY2026 and +55% on EPS. The consistent beat pattern has driven the Street to revise estimates aggressively higher, raising the bar for Q4.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not been formally revised since the April 30 earnings call, but management's tone at the Mizuho conference (CFO commentary on BiCS10 CapEx roadmap) reinforced confidence in the margin trajectory. The structural shift narrative — NBMs, undersupply through 2027+, and data center acceleration — remains intact and has not been walked back.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(Apr 30, 2026 Earnings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Revenue ($M)</w:t>
            </w:r>
          </w:p>
        </w:tc>
        <w:tc>
          <w:tcPr>
            <w:tcW w:type="dxa" w:w="1728"/>
          </w:tcPr>
          <w:p>
            <w:r>
              <w:rPr>
                <w:rFonts w:ascii="Calibri" w:hAnsi="Calibri"/>
                <w:sz w:val="22"/>
              </w:rPr>
              <w:t>$7,750–$8,250</w:t>
            </w:r>
          </w:p>
        </w:tc>
        <w:tc>
          <w:tcPr>
            <w:tcW w:type="dxa" w:w="1728"/>
          </w:tcPr>
          <w:p>
            <w:r>
              <w:rPr>
                <w:rFonts w:ascii="Calibri" w:hAnsi="Calibri"/>
                <w:sz w:val="22"/>
              </w:rPr>
              <w:t>—</w:t>
            </w:r>
          </w:p>
        </w:tc>
        <w:tc>
          <w:tcPr>
            <w:tcW w:type="dxa" w:w="1728"/>
          </w:tcPr>
          <w:p>
            <w:r>
              <w:rPr>
                <w:rFonts w:ascii="Calibri" w:hAnsi="Calibri"/>
                <w:sz w:val="22"/>
              </w:rPr>
              <w:t>$8,713</w:t>
            </w:r>
          </w:p>
        </w:tc>
        <w:tc>
          <w:tcPr>
            <w:tcW w:type="dxa" w:w="1728"/>
          </w:tcPr>
          <w:p>
            <w:r>
              <w:rPr>
                <w:rFonts w:ascii="Calibri" w:hAnsi="Calibri"/>
                <w:sz w:val="22"/>
              </w:rPr>
              <w:t>Consensus +7.5% above midpoint; Street pricing in QLC Stargate ramp and continued data center momentum beyond guidance range</w:t>
            </w:r>
          </w:p>
        </w:tc>
      </w:tr>
      <w:tr>
        <w:tc>
          <w:tcPr>
            <w:tcW w:type="dxa" w:w="1728"/>
          </w:tcPr>
          <w:p>
            <w:r>
              <w:rPr>
                <w:rFonts w:ascii="Calibri" w:hAnsi="Calibri"/>
                <w:sz w:val="22"/>
              </w:rPr>
              <w:t>Non-GAAP Gross Margin</w:t>
            </w:r>
          </w:p>
        </w:tc>
        <w:tc>
          <w:tcPr>
            <w:tcW w:type="dxa" w:w="1728"/>
          </w:tcPr>
          <w:p>
            <w:r>
              <w:rPr>
                <w:rFonts w:ascii="Calibri" w:hAnsi="Calibri"/>
                <w:sz w:val="22"/>
              </w:rPr>
              <w:t>79–81%</w:t>
            </w:r>
          </w:p>
        </w:tc>
        <w:tc>
          <w:tcPr>
            <w:tcW w:type="dxa" w:w="1728"/>
          </w:tcPr>
          <w:p>
            <w:r>
              <w:rPr>
                <w:rFonts w:ascii="Calibri" w:hAnsi="Calibri"/>
                <w:sz w:val="22"/>
              </w:rPr>
              <w:t>—</w:t>
            </w:r>
          </w:p>
        </w:tc>
        <w:tc>
          <w:tcPr>
            <w:tcW w:type="dxa" w:w="1728"/>
          </w:tcPr>
          <w:p>
            <w:r>
              <w:rPr>
                <w:rFonts w:ascii="Calibri" w:hAnsi="Calibri"/>
                <w:sz w:val="22"/>
              </w:rPr>
              <w:t>~80.2% (implied by consensus GP / revenue)</w:t>
            </w:r>
          </w:p>
        </w:tc>
        <w:tc>
          <w:tcPr>
            <w:tcW w:type="dxa" w:w="1728"/>
          </w:tcPr>
          <w:p>
            <w:r>
              <w:rPr>
                <w:rFonts w:ascii="Calibri" w:hAnsi="Calibri"/>
                <w:sz w:val="22"/>
              </w:rPr>
              <w:t>Consensus in-line with guidance midpoint; Q3 actual of ~78% was far above prior 65–67% guide, so upside risk remains</w:t>
            </w:r>
          </w:p>
        </w:tc>
      </w:tr>
      <w:tr>
        <w:tc>
          <w:tcPr>
            <w:tcW w:type="dxa" w:w="1728"/>
          </w:tcPr>
          <w:p>
            <w:r>
              <w:rPr>
                <w:rFonts w:ascii="Calibri" w:hAnsi="Calibri"/>
                <w:sz w:val="22"/>
              </w:rPr>
              <w:t>Non-GAAP OpEx ($M)</w:t>
            </w:r>
          </w:p>
        </w:tc>
        <w:tc>
          <w:tcPr>
            <w:tcW w:type="dxa" w:w="1728"/>
          </w:tcPr>
          <w:p>
            <w:r>
              <w:rPr>
                <w:rFonts w:ascii="Calibri" w:hAnsi="Calibri"/>
                <w:sz w:val="22"/>
              </w:rPr>
              <w:t>$480–$500</w:t>
            </w:r>
          </w:p>
        </w:tc>
        <w:tc>
          <w:tcPr>
            <w:tcW w:type="dxa" w:w="1728"/>
          </w:tcPr>
          <w:p>
            <w:r>
              <w:rPr>
                <w:rFonts w:ascii="Calibri" w:hAnsi="Calibri"/>
                <w:sz w:val="22"/>
              </w:rPr>
              <w:t>—</w:t>
            </w:r>
          </w:p>
        </w:tc>
        <w:tc>
          <w:tcPr>
            <w:tcW w:type="dxa" w:w="1728"/>
          </w:tcPr>
          <w:p>
            <w:r>
              <w:rPr>
                <w:rFonts w:ascii="Calibri" w:hAnsi="Calibri"/>
                <w:sz w:val="22"/>
              </w:rPr>
              <w:t>N/A — not separately tracked in VA</w:t>
            </w:r>
          </w:p>
        </w:tc>
        <w:tc>
          <w:tcPr>
            <w:tcW w:type="dxa" w:w="1728"/>
          </w:tcPr>
          <w:p>
            <w:r>
              <w:rPr>
                <w:rFonts w:ascii="Calibri" w:hAnsi="Calibri"/>
                <w:sz w:val="22"/>
              </w:rPr>
              <w:t>Unchanged; continued R&amp;D investment in BiCS8 transition and HBF development</w:t>
            </w:r>
          </w:p>
        </w:tc>
      </w:tr>
      <w:tr>
        <w:tc>
          <w:tcPr>
            <w:tcW w:type="dxa" w:w="1728"/>
          </w:tcPr>
          <w:p>
            <w:r>
              <w:rPr>
                <w:rFonts w:ascii="Calibri" w:hAnsi="Calibri"/>
                <w:sz w:val="22"/>
              </w:rPr>
              <w:t>Non-GAAP EPS</w:t>
            </w:r>
          </w:p>
        </w:tc>
        <w:tc>
          <w:tcPr>
            <w:tcW w:type="dxa" w:w="1728"/>
          </w:tcPr>
          <w:p>
            <w:r>
              <w:rPr>
                <w:rFonts w:ascii="Calibri" w:hAnsi="Calibri"/>
                <w:sz w:val="22"/>
              </w:rPr>
              <w:t>$30–$33 (158M diluted shares)</w:t>
            </w:r>
          </w:p>
        </w:tc>
        <w:tc>
          <w:tcPr>
            <w:tcW w:type="dxa" w:w="1728"/>
          </w:tcPr>
          <w:p>
            <w:r>
              <w:rPr>
                <w:rFonts w:ascii="Calibri" w:hAnsi="Calibri"/>
                <w:sz w:val="22"/>
              </w:rPr>
              <w:t>—</w:t>
            </w:r>
          </w:p>
        </w:tc>
        <w:tc>
          <w:tcPr>
            <w:tcW w:type="dxa" w:w="1728"/>
          </w:tcPr>
          <w:p>
            <w:r>
              <w:rPr>
                <w:rFonts w:ascii="Calibri" w:hAnsi="Calibri"/>
                <w:sz w:val="22"/>
              </w:rPr>
              <w:t>$35.45</w:t>
            </w:r>
          </w:p>
        </w:tc>
        <w:tc>
          <w:tcPr>
            <w:tcW w:type="dxa" w:w="1728"/>
          </w:tcPr>
          <w:p>
            <w:r>
              <w:rPr>
                <w:rFonts w:ascii="Calibri" w:hAnsi="Calibri"/>
                <w:sz w:val="22"/>
              </w:rPr>
              <w:t>Consensus +12.5% above midpoint; Street embedding revenue upside and buyback accretion from $6B program</w:t>
            </w:r>
          </w:p>
        </w:tc>
      </w:tr>
      <w:tr>
        <w:tc>
          <w:tcPr>
            <w:tcW w:type="dxa" w:w="1728"/>
          </w:tcPr>
          <w:p>
            <w:r>
              <w:rPr>
                <w:rFonts w:ascii="Calibri" w:hAnsi="Calibri"/>
                <w:sz w:val="22"/>
              </w:rPr>
              <w:t>Non-GAAP Interest &amp; Other Income ($M)</w:t>
            </w:r>
          </w:p>
        </w:tc>
        <w:tc>
          <w:tcPr>
            <w:tcW w:type="dxa" w:w="1728"/>
          </w:tcPr>
          <w:p>
            <w:r>
              <w:rPr>
                <w:rFonts w:ascii="Calibri" w:hAnsi="Calibri"/>
                <w:sz w:val="22"/>
              </w:rPr>
              <w:t>$10–$30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Reflects net cash position post full TLB repayment; zero debt balance sheet</w:t>
            </w:r>
          </w:p>
        </w:tc>
      </w:tr>
      <w:tr>
        <w:tc>
          <w:tcPr>
            <w:tcW w:type="dxa" w:w="1728"/>
          </w:tcPr>
          <w:p>
            <w:r>
              <w:rPr>
                <w:rFonts w:ascii="Calibri" w:hAnsi="Calibri"/>
                <w:sz w:val="22"/>
              </w:rPr>
              <w:t>Non-GAAP Tax Expense ($M)</w:t>
            </w:r>
          </w:p>
        </w:tc>
        <w:tc>
          <w:tcPr>
            <w:tcW w:type="dxa" w:w="1728"/>
          </w:tcPr>
          <w:p>
            <w:r>
              <w:rPr>
                <w:rFonts w:ascii="Calibri" w:hAnsi="Calibri"/>
                <w:sz w:val="22"/>
              </w:rPr>
              <w:t>$775–$875</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w:t>
            </w:r>
          </w:p>
        </w:tc>
      </w:tr>
      <w:tr>
        <w:tc>
          <w:tcPr>
            <w:tcW w:type="dxa" w:w="1728"/>
          </w:tcPr>
          <w:p>
            <w:r>
              <w:rPr>
                <w:rFonts w:ascii="Calibri" w:hAnsi="Calibri"/>
                <w:sz w:val="22"/>
              </w:rPr>
              <w:t>Data Center Growth (CY2026)</w:t>
            </w:r>
          </w:p>
        </w:tc>
        <w:tc>
          <w:tcPr>
            <w:tcW w:type="dxa" w:w="1728"/>
          </w:tcPr>
          <w:p>
            <w:r>
              <w:rPr>
                <w:rFonts w:ascii="Calibri" w:hAnsi="Calibri"/>
                <w:sz w:val="22"/>
              </w:rPr>
              <w:t>Mid-70s% (raised from high-60s% at Q2 earnings)</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4th consecutive quarter of upward revision to data center growth forecast (from mid-20s% → mid-40s% → high-60s% → mid-70s%)</w:t>
            </w:r>
          </w:p>
        </w:tc>
      </w:tr>
      <w:tr>
        <w:tc>
          <w:tcPr>
            <w:tcW w:type="dxa" w:w="1728"/>
          </w:tcPr>
          <w:p>
            <w:r>
              <w:rPr>
                <w:rFonts w:ascii="Calibri" w:hAnsi="Calibri"/>
                <w:sz w:val="22"/>
              </w:rPr>
              <w:t>NBM Coverage (FY2027 bits)</w:t>
            </w:r>
          </w:p>
        </w:tc>
        <w:tc>
          <w:tcPr>
            <w:tcW w:type="dxa" w:w="1728"/>
          </w:tcPr>
          <w:p>
            <w:r>
              <w:rPr>
                <w:rFonts w:ascii="Calibri" w:hAnsi="Calibri"/>
                <w:sz w:val="22"/>
              </w:rPr>
              <w:t>&gt;1/3 of FY2027 bits; targeting &gt;50%</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5 agreements signed; &gt;$11B financial guarantees; $42B RPO from 3 Q3 contracts; active negotiations ongoing</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April 30 print — Q4 revenue consensus is up ~7% and EPS up ~8% from the post-earnings baseline — tracking well above guidance midpoints. For FY2026 full year, estimates are up ~3% on revenue and ~4% on EPS. The gap between consensus and guidance is a risk if QLC Stargate ramp disappoints, but also signals the Street has high conviction in continued upside delivery.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&amp; Period</w:t>
            </w:r>
          </w:p>
        </w:tc>
        <w:tc>
          <w:tcPr>
            <w:tcW w:type="dxa" w:w="1080"/>
            <w:shd w:val="clear" w:color="auto" w:fill="3B4259"/>
          </w:tcPr>
          <w:p>
            <w:r>
              <w:rPr>
                <w:rFonts w:ascii="Calibri" w:hAnsi="Calibri"/>
                <w:b/>
                <w:color w:val="FFFFFF"/>
                <w:sz w:val="22"/>
              </w:rPr>
              <w:t>Estimate (May 7, 2026 — ~5 Days Post Earnings)</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(Apr 30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Revenue — Q4 FY2026 ($M)</w:t>
            </w:r>
          </w:p>
        </w:tc>
        <w:tc>
          <w:tcPr>
            <w:tcW w:type="dxa" w:w="1080"/>
          </w:tcPr>
          <w:p>
            <w:r>
              <w:rPr>
                <w:rFonts w:ascii="Calibri" w:hAnsi="Calibri"/>
                <w:sz w:val="22"/>
              </w:rPr>
              <w:t>$8,140</w:t>
            </w:r>
          </w:p>
        </w:tc>
        <w:tc>
          <w:tcPr>
            <w:tcW w:type="dxa" w:w="1080"/>
          </w:tcPr>
          <w:p>
            <w:r>
              <w:rPr>
                <w:rFonts w:ascii="Calibri" w:hAnsi="Calibri"/>
                <w:sz w:val="22"/>
              </w:rPr>
              <w:t>$8,713</w:t>
            </w:r>
          </w:p>
        </w:tc>
        <w:tc>
          <w:tcPr>
            <w:tcW w:type="dxa" w:w="1080"/>
          </w:tcPr>
          <w:p>
            <w:r>
              <w:rPr>
                <w:rFonts w:ascii="Calibri" w:hAnsi="Calibri"/>
                <w:b/>
                <w:color w:val="E5484D"/>
                <w:sz w:val="22"/>
              </w:rPr>
              <w:t>+7.0%</w:t>
            </w:r>
          </w:p>
        </w:tc>
        <w:tc>
          <w:tcPr>
            <w:tcW w:type="dxa" w:w="1080"/>
          </w:tcPr>
          <w:p>
            <w:r>
              <w:rPr>
                <w:rFonts w:ascii="Calibri" w:hAnsi="Calibri"/>
                <w:sz w:val="22"/>
              </w:rPr>
              <w:t>$7,750–$8,250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+7.5% above midpoint</w:t>
            </w:r>
          </w:p>
        </w:tc>
      </w:tr>
      <w:tr>
        <w:tc>
          <w:tcPr>
            <w:tcW w:type="dxa" w:w="1080"/>
          </w:tcPr>
          <w:p>
            <w:r>
              <w:rPr>
                <w:rFonts w:ascii="Calibri" w:hAnsi="Calibri"/>
                <w:sz w:val="22"/>
              </w:rPr>
              <w:t>Non-GAAP EPS — Q4 FY2026</w:t>
            </w:r>
          </w:p>
        </w:tc>
        <w:tc>
          <w:tcPr>
            <w:tcW w:type="dxa" w:w="1080"/>
          </w:tcPr>
          <w:p>
            <w:r>
              <w:rPr>
                <w:rFonts w:ascii="Calibri" w:hAnsi="Calibri"/>
                <w:sz w:val="22"/>
              </w:rPr>
              <w:t>$32.94</w:t>
            </w:r>
          </w:p>
        </w:tc>
        <w:tc>
          <w:tcPr>
            <w:tcW w:type="dxa" w:w="1080"/>
          </w:tcPr>
          <w:p>
            <w:r>
              <w:rPr>
                <w:rFonts w:ascii="Calibri" w:hAnsi="Calibri"/>
                <w:sz w:val="22"/>
              </w:rPr>
              <w:t>$35.45</w:t>
            </w:r>
          </w:p>
        </w:tc>
        <w:tc>
          <w:tcPr>
            <w:tcW w:type="dxa" w:w="1080"/>
          </w:tcPr>
          <w:p>
            <w:r>
              <w:rPr>
                <w:rFonts w:ascii="Calibri" w:hAnsi="Calibri"/>
                <w:b/>
                <w:color w:val="E5484D"/>
                <w:sz w:val="22"/>
              </w:rPr>
              <w:t>+7.6%</w:t>
            </w:r>
          </w:p>
        </w:tc>
        <w:tc>
          <w:tcPr>
            <w:tcW w:type="dxa" w:w="1080"/>
          </w:tcPr>
          <w:p>
            <w:r>
              <w:rPr>
                <w:rFonts w:ascii="Calibri" w:hAnsi="Calibri"/>
                <w:sz w:val="22"/>
              </w:rPr>
              <w:t>$30–$33</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+12.5% above midpoint</w:t>
            </w:r>
          </w:p>
        </w:tc>
      </w:tr>
      <w:tr>
        <w:tc>
          <w:tcPr>
            <w:tcW w:type="dxa" w:w="1080"/>
          </w:tcPr>
          <w:p>
            <w:r>
              <w:rPr>
                <w:rFonts w:ascii="Calibri" w:hAnsi="Calibri"/>
                <w:sz w:val="22"/>
              </w:rPr>
              <w:t>Revenue — FY2026 Full Year ($M)</w:t>
            </w:r>
          </w:p>
        </w:tc>
        <w:tc>
          <w:tcPr>
            <w:tcW w:type="dxa" w:w="1080"/>
          </w:tcPr>
          <w:p>
            <w:r>
              <w:rPr>
                <w:rFonts w:ascii="Calibri" w:hAnsi="Calibri"/>
                <w:sz w:val="22"/>
              </w:rPr>
              <w:t>$19,423</w:t>
            </w:r>
          </w:p>
        </w:tc>
        <w:tc>
          <w:tcPr>
            <w:tcW w:type="dxa" w:w="1080"/>
          </w:tcPr>
          <w:p>
            <w:r>
              <w:rPr>
                <w:rFonts w:ascii="Calibri" w:hAnsi="Calibri"/>
                <w:sz w:val="22"/>
              </w:rPr>
              <w:t>$19,996</w:t>
            </w:r>
          </w:p>
        </w:tc>
        <w:tc>
          <w:tcPr>
            <w:tcW w:type="dxa" w:w="1080"/>
          </w:tcPr>
          <w:p>
            <w:r>
              <w:rPr>
                <w:rFonts w:ascii="Calibri" w:hAnsi="Calibri"/>
                <w:b/>
                <w:color w:val="E5484D"/>
                <w:sz w:val="22"/>
              </w:rPr>
              <w:t>+2.9%</w:t>
            </w:r>
          </w:p>
        </w:tc>
        <w:tc>
          <w:tcPr>
            <w:tcW w:type="dxa" w:w="1080"/>
          </w:tcPr>
          <w:p>
            <w:r>
              <w:rPr>
                <w:rFonts w:ascii="Calibri" w:hAnsi="Calibri"/>
                <w:sz w:val="22"/>
              </w:rPr>
              <w:t>N/A (no FY guidance given)</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FY2026 Full Year</w:t>
            </w:r>
          </w:p>
        </w:tc>
        <w:tc>
          <w:tcPr>
            <w:tcW w:type="dxa" w:w="1080"/>
          </w:tcPr>
          <w:p>
            <w:r>
              <w:rPr>
                <w:rFonts w:ascii="Calibri" w:hAnsi="Calibri"/>
                <w:sz w:val="22"/>
              </w:rPr>
              <w:t>$64.21</w:t>
            </w:r>
          </w:p>
        </w:tc>
        <w:tc>
          <w:tcPr>
            <w:tcW w:type="dxa" w:w="1080"/>
          </w:tcPr>
          <w:p>
            <w:r>
              <w:rPr>
                <w:rFonts w:ascii="Calibri" w:hAnsi="Calibri"/>
                <w:sz w:val="22"/>
              </w:rPr>
              <w:t>$66.89</w:t>
            </w:r>
          </w:p>
        </w:tc>
        <w:tc>
          <w:tcPr>
            <w:tcW w:type="dxa" w:w="1080"/>
          </w:tcPr>
          <w:p>
            <w:r>
              <w:rPr>
                <w:rFonts w:ascii="Calibri" w:hAnsi="Calibri"/>
                <w:b/>
                <w:color w:val="E5484D"/>
                <w:sz w:val="22"/>
              </w:rPr>
              <w:t>+4.2%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Revenue — FY2027 ($M)</w:t>
            </w:r>
          </w:p>
        </w:tc>
        <w:tc>
          <w:tcPr>
            <w:tcW w:type="dxa" w:w="1080"/>
          </w:tcPr>
          <w:p>
            <w:r>
              <w:rPr>
                <w:rFonts w:ascii="Calibri" w:hAnsi="Calibri"/>
                <w:sz w:val="22"/>
              </w:rPr>
              <w:t>$41,877</w:t>
            </w:r>
          </w:p>
        </w:tc>
        <w:tc>
          <w:tcPr>
            <w:tcW w:type="dxa" w:w="1080"/>
          </w:tcPr>
          <w:p>
            <w:r>
              <w:rPr>
                <w:rFonts w:ascii="Calibri" w:hAnsi="Calibri"/>
                <w:sz w:val="22"/>
              </w:rPr>
              <w:t>$50,311</w:t>
            </w:r>
          </w:p>
        </w:tc>
        <w:tc>
          <w:tcPr>
            <w:tcW w:type="dxa" w:w="1080"/>
          </w:tcPr>
          <w:p>
            <w:r>
              <w:rPr>
                <w:rFonts w:ascii="Calibri" w:hAnsi="Calibri"/>
                <w:b/>
                <w:color w:val="30A46C"/>
                <w:sz w:val="22"/>
              </w:rPr>
              <w:t>+20.2%</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Non-GAAP EPS — FY2027</w:t>
            </w:r>
          </w:p>
        </w:tc>
        <w:tc>
          <w:tcPr>
            <w:tcW w:type="dxa" w:w="1080"/>
          </w:tcPr>
          <w:p>
            <w:r>
              <w:rPr>
                <w:rFonts w:ascii="Calibri" w:hAnsi="Calibri"/>
                <w:sz w:val="22"/>
              </w:rPr>
              <w:t>$168.47</w:t>
            </w:r>
          </w:p>
        </w:tc>
        <w:tc>
          <w:tcPr>
            <w:tcW w:type="dxa" w:w="1080"/>
          </w:tcPr>
          <w:p>
            <w:r>
              <w:rPr>
                <w:rFonts w:ascii="Calibri" w:hAnsi="Calibri"/>
                <w:sz w:val="22"/>
              </w:rPr>
              <w:t>$204.45</w:t>
            </w:r>
          </w:p>
        </w:tc>
        <w:tc>
          <w:tcPr>
            <w:tcW w:type="dxa" w:w="1080"/>
          </w:tcPr>
          <w:p>
            <w:r>
              <w:rPr>
                <w:rFonts w:ascii="Calibri" w:hAnsi="Calibri"/>
                <w:b/>
                <w:color w:val="30A46C"/>
                <w:sz w:val="22"/>
              </w:rPr>
              <w:t>+21.3%</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color w:val="525866"/>
          <w:sz w:val="22"/>
        </w:rPr>
        <w:t>The most striking revision is in FY2027 estimates, which have surged +20% on revenue and +21% on EPS since the post-earnings baseline — reflecting the Street's growing conviction in the NBM framework, sustained undersupply through 2027+, and data center NAND demand acceleration. Near-term Q4 estimates sitting 7–13% above guidance midpoints represent a meaningful execution hurdle.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SNDK dramatically outperformed both the semis ETF (SMH) and S&amp;P 500 in the weeks following earnings, peaking at +113% indexed on June 25 before a sharp -39% drawdown through late July. The reversal was driven by sentiment normalization and profit-taking, not a fundamental change — the stock has since partially recovered and sits ~+30% since earnings vs. SMH +14% and SPY +7%.</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SNDK vs. SMH (VanEck Semiconductor ETF) vs. S&amp;P 500 — Indexed to 100 at April 30, 2026 earnings date. Source: Stock Price Data.</w:t>
      </w:r>
    </w:p>
    <w:p>
      <w:r>
        <w:rPr>
          <w:rFonts w:ascii="Calibri" w:hAnsi="Calibri"/>
          <w:b/>
          <w:color w:val="525866"/>
          <w:sz w:val="22"/>
        </w:rPr>
        <w:t xml:space="preserve">Sector ETF used: </w:t>
      </w:r>
      <w:r>
        <w:rPr>
          <w:rFonts w:ascii="Calibri" w:hAnsi="Calibri"/>
          <w:color w:val="525866"/>
          <w:sz w:val="22"/>
        </w:rPr>
        <w:t>SMH (VanEck Semiconductor ETF) — appropriate given SNDK's classification as a pure-play NAND semiconductor manufacturer. Key events marked: (1) May 14 mini-tender advisory 8-K; (2) June 24 Micron Q3 earnings (major NAND read-through); (3) July 9 Q4 earnings date and Investor Day announcement; (4) July 28 Seagate Q4 earnings (storage sector read-through). The stock's peak-to-trough drawdown of ~39% from June 25 to July 29 was sharper than SMH (-24%) and SPY (-3%), suggesting SNDK-specific sentiment reset rather than broad market pressure. The stock has recovered ~40% from its July 29 trough through August 5.</w:t>
      </w:r>
    </w:p>
    <w:p>
      <w:r>
        <w:br w:type="page"/>
      </w:r>
    </w:p>
    <w:p>
      <w:pPr>
        <w:pStyle w:val="Heading2"/>
      </w:pPr>
      <w:r>
        <w:rPr>
          <w:rFonts w:ascii="Calibri" w:hAnsi="Calibri"/>
          <w:b/>
          <w:color w:val="3B4259"/>
          <w:sz w:val="28"/>
        </w:rPr>
        <w:t>6. Peer Commentaries — Read-Through Analysis (Last 60 Days)</w:t>
      </w:r>
    </w:p>
    <w:p>
      <w:r>
        <w:rPr>
          <w:rFonts w:ascii="Calibri" w:hAnsi="Calibri"/>
          <w:b/>
          <w:color w:val="525866"/>
          <w:sz w:val="22"/>
        </w:rPr>
        <w:t xml:space="preserve">Key Takeaway: </w:t>
      </w:r>
      <w:r>
        <w:rPr>
          <w:rFonts w:ascii="Calibri" w:hAnsi="Calibri"/>
          <w:color w:val="525866"/>
          <w:sz w:val="22"/>
        </w:rPr>
        <w:t>Peer commentary from the last 60 days is uniformly bullish for SNDK's Q4 setup — every major storage and memory peer confirms demand significantly exceeds supply, NAND pricing is at multi-year highs with no reset in sight, and AI-driven data center demand is accelerating. Micron's Q3 FY2026 results (June 24) are the most direct read-through, with enterprise SSD momentum described as 'exceptionally strong' and NAND prices up mid-80s% sequentially.</w:t>
      </w:r>
    </w:p>
    <w:p>
      <w:r>
        <w:rPr>
          <w:rFonts w:ascii="Calibri" w:hAnsi="Calibri"/>
          <w:b/>
          <w:color w:val="525866"/>
          <w:sz w:val="22"/>
        </w:rPr>
        <w:t xml:space="preserve">Note: </w:t>
      </w:r>
      <w:r>
        <w:rPr>
          <w:rFonts w:ascii="Calibri" w:hAnsi="Calibri"/>
          <w:color w:val="525866"/>
          <w:sz w:val="22"/>
        </w:rPr>
        <w:t>All peer commentary below is from the 60-day window ending August 4, 2026, and pertains to current-quarter (Q4 FY2026 for SNDK) or forward-looking observations. Prior-quarter results commentary (e.g., peers discussing their own past results without forward read-through) has been excluded per the user's instruction.</w:t>
      </w:r>
    </w:p>
    <w:p>
      <w:pPr>
        <w:pStyle w:val="Heading3"/>
      </w:pPr>
      <w:r>
        <w:rPr>
          <w:rFonts w:ascii="Calibri" w:hAnsi="Calibri"/>
          <w:b/>
          <w:color w:val="3B4259"/>
          <w:sz w:val="24"/>
        </w:rPr>
        <w:t>Micron Technology (MU) — Q3 FY2026 Earnings Call &amp; Post-Earnings Analyst Call (June 24, 2026)</w:t>
      </w:r>
    </w:p>
    <w:p>
      <w:r>
        <w:rPr>
          <w:rFonts w:ascii="Calibri" w:hAnsi="Calibri"/>
          <w:b/>
          <w:color w:val="525866"/>
          <w:sz w:val="22"/>
        </w:rPr>
        <w:t xml:space="preserve">Read-Through Relevance: </w:t>
      </w:r>
      <w:r>
        <w:rPr>
          <w:rFonts w:ascii="Calibri" w:hAnsi="Calibri"/>
          <w:color w:val="525866"/>
          <w:sz w:val="22"/>
        </w:rPr>
        <w:t>HIGHEST — MU is the most direct NAND peer and its Q3 results/Q4 guidance are the single most important external data point for SNDK's Q4 setup.</w:t>
      </w:r>
    </w:p>
    <w:p>
      <w:pPr>
        <w:pStyle w:val="ListBullet"/>
        <w:ind w:left="360" w:hanging="360"/>
      </w:pPr>
      <w:r>
        <w:rPr>
          <w:rFonts w:ascii="Calibri" w:hAnsi="Calibri"/>
          <w:b/>
          <w:color w:val="525866"/>
          <w:sz w:val="22"/>
        </w:rPr>
        <w:t xml:space="preserve">Supply-demand: </w:t>
      </w:r>
      <w:r>
        <w:rPr>
          <w:rFonts w:ascii="Calibri" w:hAnsi="Calibri"/>
          <w:color w:val="525866"/>
          <w:sz w:val="22"/>
        </w:rPr>
        <w:t>"DRAM and NAND industry demand continues to significantly exceed industry supply" and MU has "no line of sight as to when memory supply will be able to catch up with increasing demand." Tight conditions expected to persist "beyond calendar 2027" due to structurally constrained supply. Greenfield capacity "really starts to contribute to bits in calendar 28" — meaning no supply relief for SNDK's pricing environment through at least FY2027.</w:t>
      </w:r>
    </w:p>
    <w:p>
      <w:pPr>
        <w:pStyle w:val="ListBullet"/>
        <w:ind w:left="360" w:hanging="360"/>
      </w:pPr>
      <w:r>
        <w:rPr>
          <w:rFonts w:ascii="Calibri" w:hAnsi="Calibri"/>
          <w:b/>
          <w:color w:val="525866"/>
          <w:sz w:val="22"/>
        </w:rPr>
        <w:t xml:space="preserve">NAND pricing: </w:t>
      </w:r>
      <w:r>
        <w:rPr>
          <w:rFonts w:ascii="Calibri" w:hAnsi="Calibri"/>
          <w:color w:val="525866"/>
          <w:sz w:val="22"/>
        </w:rPr>
        <w:t>MU's NAND prices increased "in the mid-80s percentage range" sequentially in its fiscal Q3 (quarter ended May 2026). While MU guided to a "meaningful moderation in the rate of price increases" for its fiscal Q4, the floor price from Strategic Customer Agreements (SCAs) "enables a very robust gross margin for Micron, well above our peak quarterly margins in any past cycle" — a direct read-through for SNDK's NBM pricing floor.</w:t>
      </w:r>
    </w:p>
    <w:p>
      <w:pPr>
        <w:pStyle w:val="ListBullet"/>
        <w:ind w:left="360" w:hanging="360"/>
      </w:pPr>
      <w:r>
        <w:rPr>
          <w:rFonts w:ascii="Calibri" w:hAnsi="Calibri"/>
          <w:b/>
          <w:color w:val="525866"/>
          <w:sz w:val="22"/>
        </w:rPr>
        <w:t xml:space="preserve">Enterprise SSD momentum: </w:t>
      </w:r>
      <w:r>
        <w:rPr>
          <w:rFonts w:ascii="Calibri" w:hAnsi="Calibri"/>
          <w:color w:val="525866"/>
          <w:sz w:val="22"/>
        </w:rPr>
        <w:t>"Our enterprise SSD momentum is exceptionally strong" with a $5B quarter in enterprise/data center SSDs. MU is focused on data center SSDs "in a very single-minded way" and claims leadership in QLC, Gen 6 drives, and highest-capacity 245TB drives. SNDK's QLC Stargate product directly competes in this space — strong MU demand validates the market.</w:t>
      </w:r>
    </w:p>
    <w:p>
      <w:pPr>
        <w:pStyle w:val="ListBullet"/>
        <w:ind w:left="360" w:hanging="360"/>
      </w:pPr>
      <w:r>
        <w:rPr>
          <w:rFonts w:ascii="Calibri" w:hAnsi="Calibri"/>
          <w:b/>
          <w:color w:val="525866"/>
          <w:sz w:val="22"/>
        </w:rPr>
        <w:t xml:space="preserve">Industry NAND bit growth: </w:t>
      </w:r>
      <w:r>
        <w:rPr>
          <w:rFonts w:ascii="Calibri" w:hAnsi="Calibri"/>
          <w:color w:val="525866"/>
          <w:sz w:val="22"/>
        </w:rPr>
        <w:t>MU expects industry NAND bit shipments to grow approximately 20% in calendar 2026, "unchanged from prior expectations" — consistent with SNDK's mid-to-high-teens bit growth target.</w:t>
      </w:r>
    </w:p>
    <w:p>
      <w:pPr>
        <w:pStyle w:val="ListBullet"/>
        <w:ind w:left="360" w:hanging="360"/>
      </w:pPr>
      <w:r>
        <w:rPr>
          <w:rFonts w:ascii="Calibri" w:hAnsi="Calibri"/>
          <w:b/>
          <w:color w:val="525866"/>
          <w:sz w:val="22"/>
        </w:rPr>
        <w:t xml:space="preserve">MU Q4 FY2026 guidance (forward-looking): </w:t>
      </w:r>
      <w:r>
        <w:rPr>
          <w:rFonts w:ascii="Calibri" w:hAnsi="Calibri"/>
          <w:color w:val="525866"/>
          <w:sz w:val="22"/>
        </w:rPr>
        <w:t>MU guided for record revenue of "$50B +/- $1B" and record EPS of "$31 per share +/- $1" for its fiscal Q4 (ending August 2026). Gross margin guided at ~86%. This extraordinary guidance level validates the pricing environment SNDK is operating in.</w:t>
      </w:r>
    </w:p>
    <w:p>
      <w:pPr>
        <w:pStyle w:val="ListBullet"/>
        <w:ind w:left="360" w:hanging="360"/>
      </w:pPr>
      <w:r>
        <w:rPr>
          <w:rFonts w:ascii="Calibri" w:hAnsi="Calibri"/>
          <w:b/>
          <w:color w:val="525866"/>
          <w:sz w:val="22"/>
        </w:rPr>
        <w:t xml:space="preserve">SCA framework parallel: </w:t>
      </w:r>
      <w:r>
        <w:rPr>
          <w:rFonts w:ascii="Calibri" w:hAnsi="Calibri"/>
          <w:color w:val="525866"/>
          <w:sz w:val="22"/>
        </w:rPr>
        <w:t>MU has signed 16 "take or pay" Strategic Customer Agreements covering ~20% of DRAM volume and ~1/3 of NAND volume — directly analogous to SNDK's NBM framework. MU's success in signing these agreements validates SNDK's approach and suggests customers are broadly accepting multi-year supply commitments.</w:t>
      </w:r>
    </w:p>
    <w:p>
      <w:pPr>
        <w:pStyle w:val="ListBullet"/>
        <w:ind w:left="360" w:hanging="360"/>
      </w:pPr>
      <w:r>
        <w:rPr>
          <w:rFonts w:ascii="Calibri" w:hAnsi="Calibri"/>
          <w:b/>
          <w:color w:val="525866"/>
          <w:sz w:val="22"/>
        </w:rPr>
        <w:t xml:space="preserve">Agentic AI demand: </w:t>
      </w:r>
      <w:r>
        <w:rPr>
          <w:rFonts w:ascii="Calibri" w:hAnsi="Calibri"/>
          <w:color w:val="525866"/>
          <w:sz w:val="22"/>
        </w:rPr>
        <w:t>"Agentic AI is structurally reshaping data center infrastructure, extending beyond accelerator-only racks to include CPU racks for the agent control plane and storage racks for rapidly expanding Context Store" — directly supports SNDK's KVCache/RAG demand thesis.</w:t>
      </w:r>
    </w:p>
    <w:p>
      <w:pPr>
        <w:pStyle w:val="Heading3"/>
      </w:pPr>
      <w:r>
        <w:rPr>
          <w:rFonts w:ascii="Calibri" w:hAnsi="Calibri"/>
          <w:b/>
          <w:color w:val="3B4259"/>
          <w:sz w:val="24"/>
        </w:rPr>
        <w:t>Seagate Technology (STX) — BofA Global Technology Conference (June 2, 2026) &amp; Q4 FY2026 Earnings (July 28, 2026)</w:t>
      </w:r>
    </w:p>
    <w:p>
      <w:r>
        <w:rPr>
          <w:rFonts w:ascii="Calibri" w:hAnsi="Calibri"/>
          <w:b/>
          <w:color w:val="525866"/>
          <w:sz w:val="22"/>
        </w:rPr>
        <w:t xml:space="preserve">Read-Through Relevance: </w:t>
      </w:r>
      <w:r>
        <w:rPr>
          <w:rFonts w:ascii="Calibri" w:hAnsi="Calibri"/>
          <w:color w:val="525866"/>
          <w:sz w:val="22"/>
        </w:rPr>
        <w:t>HIGH — STX is a storage sector peer with direct data center exposure; its Q4 earnings (July 28) are the most recent read-through before SNDK's print.</w:t>
      </w:r>
    </w:p>
    <w:p>
      <w:pPr>
        <w:pStyle w:val="ListBullet"/>
        <w:ind w:left="360" w:hanging="360"/>
      </w:pPr>
      <w:r>
        <w:rPr>
          <w:rFonts w:ascii="Calibri" w:hAnsi="Calibri"/>
          <w:b/>
          <w:color w:val="525866"/>
          <w:sz w:val="22"/>
        </w:rPr>
        <w:t xml:space="preserve">Supply-demand (June 2): </w:t>
      </w:r>
      <w:r>
        <w:rPr>
          <w:rFonts w:ascii="Calibri" w:hAnsi="Calibri"/>
          <w:color w:val="525866"/>
          <w:sz w:val="22"/>
        </w:rPr>
        <w:t>"Demand is way above supply" and the HDD industry is "very disciplined" and "not building new factories." STX sees sequential growth continuing "for the next 4 to 5 quarters" based on existing orders — strong forward visibility.</w:t>
      </w:r>
    </w:p>
    <w:p>
      <w:pPr>
        <w:pStyle w:val="ListBullet"/>
        <w:ind w:left="360" w:hanging="360"/>
      </w:pPr>
      <w:r>
        <w:rPr>
          <w:rFonts w:ascii="Calibri" w:hAnsi="Calibri"/>
          <w:b/>
          <w:color w:val="525866"/>
          <w:sz w:val="22"/>
        </w:rPr>
        <w:t xml:space="preserve">NAND pricing commentary (June 2): </w:t>
      </w:r>
      <w:r>
        <w:rPr>
          <w:rFonts w:ascii="Calibri" w:hAnsi="Calibri"/>
          <w:color w:val="525866"/>
          <w:sz w:val="22"/>
        </w:rPr>
        <w:t>"SSD price today is very high" and "it just doesn't seem like we're going to get any reset on at least NAND for many, many quarters to come" — a direct and unambiguous read-through for SNDK's ASP trajectory.</w:t>
      </w:r>
    </w:p>
    <w:p>
      <w:pPr>
        <w:pStyle w:val="ListBullet"/>
        <w:ind w:left="360" w:hanging="360"/>
      </w:pPr>
      <w:r>
        <w:rPr>
          <w:rFonts w:ascii="Calibri" w:hAnsi="Calibri"/>
          <w:b/>
          <w:color w:val="525866"/>
          <w:sz w:val="22"/>
        </w:rPr>
        <w:t xml:space="preserve">Q4 FY2026 earnings (July 28 — most recent): </w:t>
      </w:r>
      <w:r>
        <w:rPr>
          <w:rFonts w:ascii="Calibri" w:hAnsi="Calibri"/>
          <w:color w:val="525866"/>
          <w:sz w:val="22"/>
        </w:rPr>
        <w:t>STX guided September quarter revenue of "$4.1B +/- $100M" (56% YoY growth at midpoint) with non-GAAP operating margin of "around 50%." The supply-demand gap is "now a little bit bigger than a few quarters ago." AI demand is "compounding with the transition from AI model training to inference to agentic applications." STX's tiered storage white paper with SK Hynix shows "direct benefit to hard drive storage" from agentic AI workloads — validates the broader AI storage thesis.</w:t>
      </w:r>
    </w:p>
    <w:p>
      <w:pPr>
        <w:pStyle w:val="ListBullet"/>
        <w:ind w:left="360" w:hanging="360"/>
      </w:pPr>
      <w:r>
        <w:rPr>
          <w:rFonts w:ascii="Calibri" w:hAnsi="Calibri"/>
          <w:b/>
          <w:color w:val="525866"/>
          <w:sz w:val="22"/>
        </w:rPr>
        <w:t xml:space="preserve">NAND pricing in Edge/IoT (July 28): </w:t>
      </w:r>
      <w:r>
        <w:rPr>
          <w:rFonts w:ascii="Calibri" w:hAnsi="Calibri"/>
          <w:color w:val="525866"/>
          <w:sz w:val="22"/>
        </w:rPr>
        <w:t>STX noted "increasing NAND pricing" in its Edge IoT markets due to tight supply conditions — consistent with SNDK's consumer and client segment pricing tailwinds.</w:t>
      </w:r>
    </w:p>
    <w:p>
      <w:pPr>
        <w:pStyle w:val="Heading3"/>
      </w:pPr>
      <w:r>
        <w:rPr>
          <w:rFonts w:ascii="Calibri" w:hAnsi="Calibri"/>
          <w:b/>
          <w:color w:val="3B4259"/>
          <w:sz w:val="24"/>
        </w:rPr>
        <w:t>Western Digital (WDC) — BofA Global Technology Conference &amp; Evercore TMT Conference (June 2–3, 2026)</w:t>
      </w:r>
    </w:p>
    <w:p>
      <w:r>
        <w:rPr>
          <w:rFonts w:ascii="Calibri" w:hAnsi="Calibri"/>
          <w:b/>
          <w:color w:val="525866"/>
          <w:sz w:val="22"/>
        </w:rPr>
        <w:t xml:space="preserve">Read-Through Relevance: </w:t>
      </w:r>
      <w:r>
        <w:rPr>
          <w:rFonts w:ascii="Calibri" w:hAnsi="Calibri"/>
          <w:color w:val="525866"/>
          <w:sz w:val="22"/>
        </w:rPr>
        <w:t>HIGH — WDC is SNDK's closest structural peer (former parent company, shares Kioxia JV manufacturing), though now focused on HDD. WDC's NAND commentary is directly relevant.</w:t>
      </w:r>
    </w:p>
    <w:p>
      <w:pPr>
        <w:pStyle w:val="ListBullet"/>
        <w:ind w:left="360" w:hanging="360"/>
      </w:pPr>
      <w:r>
        <w:rPr>
          <w:rFonts w:ascii="Calibri" w:hAnsi="Calibri"/>
          <w:b/>
          <w:color w:val="525866"/>
          <w:sz w:val="22"/>
        </w:rPr>
        <w:t xml:space="preserve">Supply environment: </w:t>
      </w:r>
      <w:r>
        <w:rPr>
          <w:rFonts w:ascii="Calibri" w:hAnsi="Calibri"/>
          <w:color w:val="525866"/>
          <w:sz w:val="22"/>
        </w:rPr>
        <w:t>"It's a very tight environment" with "multiple industry reports indicating demand is at least today bigger than supply" and expected to "continue to be very tight" for the next couple of years. WDC has "pretty good visibility, at least one year out" due to customers placing purchase orders 52 weeks in advance — validates SNDK's NBM long-term commitment framework.</w:t>
      </w:r>
    </w:p>
    <w:p>
      <w:pPr>
        <w:pStyle w:val="ListBullet"/>
        <w:ind w:left="360" w:hanging="360"/>
      </w:pPr>
      <w:r>
        <w:rPr>
          <w:rFonts w:ascii="Calibri" w:hAnsi="Calibri"/>
          <w:b/>
          <w:color w:val="525866"/>
          <w:sz w:val="22"/>
        </w:rPr>
        <w:t xml:space="preserve">Pricing strategy: </w:t>
      </w:r>
      <w:r>
        <w:rPr>
          <w:rFonts w:ascii="Calibri" w:hAnsi="Calibri"/>
          <w:color w:val="525866"/>
          <w:sz w:val="22"/>
        </w:rPr>
        <w:t>WDC has been "raising prices across the board." The CFO expects "further gross margin improvements for many, many quarters to go" — a direct read-through for SNDK's margin expansion trajectory.</w:t>
      </w:r>
    </w:p>
    <w:p>
      <w:pPr>
        <w:pStyle w:val="ListBullet"/>
        <w:ind w:left="360" w:hanging="360"/>
      </w:pPr>
      <w:r>
        <w:rPr>
          <w:rFonts w:ascii="Calibri" w:hAnsi="Calibri"/>
          <w:b/>
          <w:color w:val="525866"/>
          <w:sz w:val="22"/>
        </w:rPr>
        <w:t xml:space="preserve">Data center storage mix: </w:t>
      </w:r>
      <w:r>
        <w:rPr>
          <w:rFonts w:ascii="Calibri" w:hAnsi="Calibri"/>
          <w:color w:val="525866"/>
          <w:sz w:val="22"/>
        </w:rPr>
        <w:t>In hyperscale data centers, "roughly 80% of all data is stored on HDD and roughly 20% on SSD" and "both segments are growing very strong" — validates the data center NAND TAM expansion thesis.</w:t>
      </w:r>
    </w:p>
    <w:p>
      <w:pPr>
        <w:pStyle w:val="ListBullet"/>
        <w:ind w:left="360" w:hanging="360"/>
      </w:pPr>
      <w:r>
        <w:rPr>
          <w:rFonts w:ascii="Calibri" w:hAnsi="Calibri"/>
          <w:b/>
          <w:color w:val="525866"/>
          <w:sz w:val="22"/>
        </w:rPr>
        <w:t xml:space="preserve">AI demand drivers: </w:t>
      </w:r>
      <w:r>
        <w:rPr>
          <w:rFonts w:ascii="Calibri" w:hAnsi="Calibri"/>
          <w:color w:val="525866"/>
          <w:sz w:val="22"/>
        </w:rPr>
        <w:t>AI is "kicking in in multiple ways" — training data lakes, inferencing output storage, and "physical AI" (autonomous vehicles). WDC's multi-vector AI demand framework aligns with SNDK's thesis that NAND demand is structural and multi-year.</w:t>
      </w:r>
    </w:p>
    <w:p>
      <w:pPr>
        <w:pStyle w:val="Heading3"/>
      </w:pPr>
      <w:r>
        <w:rPr>
          <w:rFonts w:ascii="Calibri" w:hAnsi="Calibri"/>
          <w:b/>
          <w:color w:val="3B4259"/>
          <w:sz w:val="24"/>
        </w:rPr>
        <w:t>NetApp (NTAP) — BofA Global Technology Conference &amp; Evercore TMT Conference (June 2–3, 2026)</w:t>
      </w:r>
    </w:p>
    <w:p>
      <w:r>
        <w:rPr>
          <w:rFonts w:ascii="Calibri" w:hAnsi="Calibri"/>
          <w:b/>
          <w:color w:val="525866"/>
          <w:sz w:val="22"/>
        </w:rPr>
        <w:t xml:space="preserve">Read-Through Relevance: </w:t>
      </w:r>
      <w:r>
        <w:rPr>
          <w:rFonts w:ascii="Calibri" w:hAnsi="Calibri"/>
          <w:color w:val="525866"/>
          <w:sz w:val="22"/>
        </w:rPr>
        <w:t>MODERATE — NTAP is a NAND buyer (enterprise storage systems), so its commentary reflects the demand-side view of the NAND market and validates pricing power.</w:t>
      </w:r>
    </w:p>
    <w:p>
      <w:pPr>
        <w:pStyle w:val="ListBullet"/>
        <w:ind w:left="360" w:hanging="360"/>
      </w:pPr>
      <w:r>
        <w:rPr>
          <w:rFonts w:ascii="Calibri" w:hAnsi="Calibri"/>
          <w:b/>
          <w:color w:val="525866"/>
          <w:sz w:val="22"/>
        </w:rPr>
        <w:t xml:space="preserve">NAND as input cost: </w:t>
      </w:r>
      <w:r>
        <w:rPr>
          <w:rFonts w:ascii="Calibri" w:hAnsi="Calibri"/>
          <w:color w:val="525866"/>
          <w:sz w:val="22"/>
        </w:rPr>
        <w:t>NTAP is "clearly operating in a supply-constrained environment" and saw "commodity prices increase at a very fast pace," especially on the all-flash side. NTAP "implemented price increases last quarter to protect profitability" and will not hesitate to take further action — confirms NAND suppliers (SNDK) have pricing power that is being passed through the value chain.</w:t>
      </w:r>
    </w:p>
    <w:p>
      <w:pPr>
        <w:pStyle w:val="ListBullet"/>
        <w:ind w:left="360" w:hanging="360"/>
      </w:pPr>
      <w:r>
        <w:rPr>
          <w:rFonts w:ascii="Calibri" w:hAnsi="Calibri"/>
          <w:b/>
          <w:color w:val="525866"/>
          <w:sz w:val="22"/>
        </w:rPr>
        <w:t xml:space="preserve">All-flash transition: </w:t>
      </w:r>
      <w:r>
        <w:rPr>
          <w:rFonts w:ascii="Calibri" w:hAnsi="Calibri"/>
          <w:color w:val="525866"/>
          <w:sz w:val="22"/>
        </w:rPr>
        <w:t>NTAP's installed base is now ~48% all-flash, with an "uptick in the hybrid flash business" potentially driven by high all-flash prices — a nuanced read-through suggesting very high NAND prices may cause some substitution at the margin, though the overall trend remains toward all-flash.</w:t>
      </w:r>
    </w:p>
    <w:p>
      <w:pPr>
        <w:pStyle w:val="ListBullet"/>
        <w:ind w:left="360" w:hanging="360"/>
      </w:pPr>
      <w:r>
        <w:rPr>
          <w:rFonts w:ascii="Calibri" w:hAnsi="Calibri"/>
          <w:b/>
          <w:color w:val="525866"/>
          <w:sz w:val="22"/>
        </w:rPr>
        <w:t xml:space="preserve">Forward outlook: </w:t>
      </w:r>
      <w:r>
        <w:rPr>
          <w:rFonts w:ascii="Calibri" w:hAnsi="Calibri"/>
          <w:color w:val="525866"/>
          <w:sz w:val="22"/>
        </w:rPr>
        <w:t>NTAP guided Q1 FY2027 (May–July) revenue growth of ~17% and expects Q1 to be the "trough" for product gross margins, with "gradual improvements for the rest of the year" as price increases take effect. This implies NAND pricing remains elevated through at least mid-2027.</w:t>
      </w:r>
    </w:p>
    <w:p>
      <w:pPr>
        <w:pStyle w:val="ListBullet"/>
        <w:ind w:left="360" w:hanging="360"/>
      </w:pPr>
      <w:r>
        <w:rPr>
          <w:rFonts w:ascii="Calibri" w:hAnsi="Calibri"/>
          <w:b/>
          <w:color w:val="525866"/>
          <w:sz w:val="22"/>
        </w:rPr>
        <w:t xml:space="preserve">AI demand: </w:t>
      </w:r>
      <w:r>
        <w:rPr>
          <w:rFonts w:ascii="Calibri" w:hAnsi="Calibri"/>
          <w:color w:val="525866"/>
          <w:sz w:val="22"/>
        </w:rPr>
        <w:t>NTAP views AI as an "incremental opportunity" and "nice tailwind," with half of Q4 AI engagements on "data preparation and data lake modernization" — validates the enterprise AI storage demand thesis.</w:t>
      </w:r>
    </w:p>
    <w:p>
      <w:pPr>
        <w:pStyle w:val="Heading3"/>
      </w:pPr>
      <w:r>
        <w:rPr>
          <w:rFonts w:ascii="Calibri" w:hAnsi="Calibri"/>
          <w:b/>
          <w:color w:val="3B4259"/>
          <w:sz w:val="24"/>
        </w:rPr>
        <w:t>Pure Storage (PSTG) — William Blair Growth Stock Conference (June 3, 2026)</w:t>
      </w:r>
    </w:p>
    <w:p>
      <w:r>
        <w:rPr>
          <w:rFonts w:ascii="Calibri" w:hAnsi="Calibri"/>
          <w:b/>
          <w:color w:val="525866"/>
          <w:sz w:val="22"/>
        </w:rPr>
        <w:t xml:space="preserve">Read-Through Relevance: </w:t>
      </w:r>
      <w:r>
        <w:rPr>
          <w:rFonts w:ascii="Calibri" w:hAnsi="Calibri"/>
          <w:color w:val="525866"/>
          <w:sz w:val="22"/>
        </w:rPr>
        <w:t>MODERATE — PSTG is an enterprise flash storage systems company and a NAND buyer; its commentary validates enterprise SSD demand and pricing dynamics.</w:t>
      </w:r>
    </w:p>
    <w:p>
      <w:pPr>
        <w:pStyle w:val="ListBullet"/>
        <w:ind w:left="360" w:hanging="360"/>
      </w:pPr>
      <w:r>
        <w:rPr>
          <w:rFonts w:ascii="Calibri" w:hAnsi="Calibri"/>
          <w:b/>
          <w:color w:val="525866"/>
          <w:sz w:val="22"/>
        </w:rPr>
        <w:t xml:space="preserve">Supply constraints: </w:t>
      </w:r>
      <w:r>
        <w:rPr>
          <w:rFonts w:ascii="Calibri" w:hAnsi="Calibri"/>
          <w:color w:val="525866"/>
          <w:sz w:val="22"/>
        </w:rPr>
        <w:t>PSTG confirms "demand outstripping supply" and input cost rises leading to pricing actions. The company is "supply constrained" on its hyperscaler solution — validates that enterprise flash demand is robust and supply is genuinely tight.</w:t>
      </w:r>
    </w:p>
    <w:p>
      <w:pPr>
        <w:pStyle w:val="ListBullet"/>
        <w:ind w:left="360" w:hanging="360"/>
      </w:pPr>
      <w:r>
        <w:rPr>
          <w:rFonts w:ascii="Calibri" w:hAnsi="Calibri"/>
          <w:b/>
          <w:color w:val="525866"/>
          <w:sz w:val="22"/>
        </w:rPr>
        <w:t xml:space="preserve">Pricing pass-through: </w:t>
      </w:r>
      <w:r>
        <w:rPr>
          <w:rFonts w:ascii="Calibri" w:hAnsi="Calibri"/>
          <w:color w:val="525866"/>
          <w:sz w:val="22"/>
        </w:rPr>
        <w:t>PSTG attributed ~1/3 of its quarterly growth to pricing actions and pull-forwards. The company is running at the lower end of its 65–70% gross margin range due to "input cost rises" and the speed at which NAND prices have risen vs. its ability to adjust market pricing — confirms NAND suppliers (SNDK) are capturing pricing power faster than downstream systems companies.</w:t>
      </w:r>
    </w:p>
    <w:p>
      <w:pPr>
        <w:pStyle w:val="ListBullet"/>
        <w:ind w:left="360" w:hanging="360"/>
      </w:pPr>
      <w:r>
        <w:rPr>
          <w:rFonts w:ascii="Calibri" w:hAnsi="Calibri"/>
          <w:b/>
          <w:color w:val="525866"/>
          <w:sz w:val="22"/>
        </w:rPr>
        <w:t xml:space="preserve">Forward demand: </w:t>
      </w:r>
      <w:r>
        <w:rPr>
          <w:rFonts w:ascii="Calibri" w:hAnsi="Calibri"/>
          <w:color w:val="525866"/>
          <w:sz w:val="22"/>
        </w:rPr>
        <w:t>PSTG sees "robust demand continuing into Q2" of its fiscal year and expects "modestly increasing gross margin as we go through the year" as pricing adjustments take effect and its high-margin hyperscaler business ramps in H2 — validates sustained enterprise SSD demand through SNDK's Q4 and beyond.</w:t>
      </w:r>
    </w:p>
    <w:p>
      <w:pPr>
        <w:pStyle w:val="ListBullet"/>
        <w:ind w:left="360" w:hanging="360"/>
      </w:pPr>
      <w:r>
        <w:rPr>
          <w:rFonts w:ascii="Calibri" w:hAnsi="Calibri"/>
          <w:b/>
          <w:color w:val="525866"/>
          <w:sz w:val="22"/>
        </w:rPr>
        <w:t xml:space="preserve">AI driving on-prem storage: </w:t>
      </w:r>
      <w:r>
        <w:rPr>
          <w:rFonts w:ascii="Calibri" w:hAnsi="Calibri"/>
          <w:color w:val="525866"/>
          <w:sz w:val="22"/>
        </w:rPr>
        <w:t>AI is "driving up demand for on-prem storage" as enterprises realize AI will affect their "entire footprint" and require broad-based modernization — supports SNDK's enterprise SSD demand thesis beyond hyperscalers.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Key Read-Through for SNDK Q4</w:t>
            </w:r>
          </w:p>
        </w:tc>
        <w:tc>
          <w:tcPr>
            <w:tcW w:type="dxa" w:w="2160"/>
            <w:shd w:val="clear" w:color="auto" w:fill="3B4259"/>
          </w:tcPr>
          <w:p>
            <w:r>
              <w:rPr>
                <w:rFonts w:ascii="Calibri" w:hAnsi="Calibri"/>
                <w:b/>
                <w:color w:val="FFFFFF"/>
                <w:sz w:val="22"/>
              </w:rPr>
              <w:t>Relevance</w:t>
            </w:r>
          </w:p>
        </w:tc>
      </w:tr>
      <w:tr>
        <w:tc>
          <w:tcPr>
            <w:tcW w:type="dxa" w:w="2160"/>
          </w:tcPr>
          <w:p>
            <w:r>
              <w:rPr>
                <w:rFonts w:ascii="Calibri" w:hAnsi="Calibri"/>
                <w:sz w:val="22"/>
              </w:rPr>
              <w:t>MU</w:t>
            </w:r>
          </w:p>
        </w:tc>
        <w:tc>
          <w:tcPr>
            <w:tcW w:type="dxa" w:w="2160"/>
          </w:tcPr>
          <w:p>
            <w:r>
              <w:rPr>
                <w:rFonts w:ascii="Calibri" w:hAnsi="Calibri"/>
                <w:sz w:val="22"/>
              </w:rPr>
              <w:t>Q3 FY2026 Earnings + Analyst Call (Jun 24)</w:t>
            </w:r>
          </w:p>
        </w:tc>
        <w:tc>
          <w:tcPr>
            <w:tcW w:type="dxa" w:w="2160"/>
          </w:tcPr>
          <w:p>
            <w:r>
              <w:rPr>
                <w:rFonts w:ascii="Calibri" w:hAnsi="Calibri"/>
                <w:sz w:val="22"/>
              </w:rPr>
              <w:t>NAND prices +mid-80s% seq; enterprise SSD 'exceptionally strong'; tight supply beyond 2027; 16 SCAs signed covering 1/3 of NAND volume; Q4 guidance for record $50B revenue</w:t>
            </w:r>
          </w:p>
        </w:tc>
        <w:tc>
          <w:tcPr>
            <w:tcW w:type="dxa" w:w="2160"/>
          </w:tcPr>
          <w:p>
            <w:r>
              <w:rPr>
                <w:rFonts w:ascii="Calibri" w:hAnsi="Calibri"/>
                <w:b/>
                <w:sz w:val="22"/>
              </w:rPr>
              <w:t>Highest</w:t>
            </w:r>
          </w:p>
        </w:tc>
      </w:tr>
      <w:tr>
        <w:tc>
          <w:tcPr>
            <w:tcW w:type="dxa" w:w="2160"/>
          </w:tcPr>
          <w:p>
            <w:r>
              <w:rPr>
                <w:rFonts w:ascii="Calibri" w:hAnsi="Calibri"/>
                <w:sz w:val="22"/>
              </w:rPr>
              <w:t>STX</w:t>
            </w:r>
          </w:p>
        </w:tc>
        <w:tc>
          <w:tcPr>
            <w:tcW w:type="dxa" w:w="2160"/>
          </w:tcPr>
          <w:p>
            <w:r>
              <w:rPr>
                <w:rFonts w:ascii="Calibri" w:hAnsi="Calibri"/>
                <w:sz w:val="22"/>
              </w:rPr>
              <w:t>Q4 FY2026 Earnings (Jul 28) + BofA Conference (Jun 2)</w:t>
            </w:r>
          </w:p>
        </w:tc>
        <w:tc>
          <w:tcPr>
            <w:tcW w:type="dxa" w:w="2160"/>
          </w:tcPr>
          <w:p>
            <w:r>
              <w:rPr>
                <w:rFonts w:ascii="Calibri" w:hAnsi="Calibri"/>
                <w:sz w:val="22"/>
              </w:rPr>
              <w:t>'SSD price today is very high'; no NAND reset 'for many, many quarters'; supply-demand gap widening; Sep qtr guided $4.1B (+56% YoY)</w:t>
            </w:r>
          </w:p>
        </w:tc>
        <w:tc>
          <w:tcPr>
            <w:tcW w:type="dxa" w:w="2160"/>
          </w:tcPr>
          <w:p>
            <w:r>
              <w:rPr>
                <w:rFonts w:ascii="Calibri" w:hAnsi="Calibri"/>
                <w:b/>
                <w:sz w:val="22"/>
              </w:rPr>
              <w:t>High</w:t>
            </w:r>
          </w:p>
        </w:tc>
      </w:tr>
      <w:tr>
        <w:tc>
          <w:tcPr>
            <w:tcW w:type="dxa" w:w="2160"/>
          </w:tcPr>
          <w:p>
            <w:r>
              <w:rPr>
                <w:rFonts w:ascii="Calibri" w:hAnsi="Calibri"/>
                <w:sz w:val="22"/>
              </w:rPr>
              <w:t>WDC</w:t>
            </w:r>
          </w:p>
        </w:tc>
        <w:tc>
          <w:tcPr>
            <w:tcW w:type="dxa" w:w="2160"/>
          </w:tcPr>
          <w:p>
            <w:r>
              <w:rPr>
                <w:rFonts w:ascii="Calibri" w:hAnsi="Calibri"/>
                <w:sz w:val="22"/>
              </w:rPr>
              <w:t>BofA &amp; Evercore Conferences (Jun 2–3)</w:t>
            </w:r>
          </w:p>
        </w:tc>
        <w:tc>
          <w:tcPr>
            <w:tcW w:type="dxa" w:w="2160"/>
          </w:tcPr>
          <w:p>
            <w:r>
              <w:rPr>
                <w:rFonts w:ascii="Calibri" w:hAnsi="Calibri"/>
                <w:sz w:val="22"/>
              </w:rPr>
              <w:t>Raising prices 'across the board'; 1-year forward visibility from 52-week POs; 'further gross margin improvements for many, many quarters to go'</w:t>
            </w:r>
          </w:p>
        </w:tc>
        <w:tc>
          <w:tcPr>
            <w:tcW w:type="dxa" w:w="2160"/>
          </w:tcPr>
          <w:p>
            <w:r>
              <w:rPr>
                <w:rFonts w:ascii="Calibri" w:hAnsi="Calibri"/>
                <w:b/>
                <w:sz w:val="22"/>
              </w:rPr>
              <w:t>High</w:t>
            </w:r>
          </w:p>
        </w:tc>
      </w:tr>
      <w:tr>
        <w:tc>
          <w:tcPr>
            <w:tcW w:type="dxa" w:w="2160"/>
          </w:tcPr>
          <w:p>
            <w:r>
              <w:rPr>
                <w:rFonts w:ascii="Calibri" w:hAnsi="Calibri"/>
                <w:sz w:val="22"/>
              </w:rPr>
              <w:t>NTAP</w:t>
            </w:r>
          </w:p>
        </w:tc>
        <w:tc>
          <w:tcPr>
            <w:tcW w:type="dxa" w:w="2160"/>
          </w:tcPr>
          <w:p>
            <w:r>
              <w:rPr>
                <w:rFonts w:ascii="Calibri" w:hAnsi="Calibri"/>
                <w:sz w:val="22"/>
              </w:rPr>
              <w:t>BofA &amp; Evercore Conferences (Jun 2–3)</w:t>
            </w:r>
          </w:p>
        </w:tc>
        <w:tc>
          <w:tcPr>
            <w:tcW w:type="dxa" w:w="2160"/>
          </w:tcPr>
          <w:p>
            <w:r>
              <w:rPr>
                <w:rFonts w:ascii="Calibri" w:hAnsi="Calibri"/>
                <w:sz w:val="22"/>
              </w:rPr>
              <w:t>NAND commodity prices rising 'very fast'; implemented price increases; Q1 gross margin trough with gradual improvement through year</w:t>
            </w:r>
          </w:p>
        </w:tc>
        <w:tc>
          <w:tcPr>
            <w:tcW w:type="dxa" w:w="2160"/>
          </w:tcPr>
          <w:p>
            <w:r>
              <w:rPr>
                <w:rFonts w:ascii="Calibri" w:hAnsi="Calibri"/>
                <w:b/>
                <w:sz w:val="22"/>
              </w:rPr>
              <w:t>Moderate</w:t>
            </w:r>
          </w:p>
        </w:tc>
      </w:tr>
      <w:tr>
        <w:tc>
          <w:tcPr>
            <w:tcW w:type="dxa" w:w="2160"/>
          </w:tcPr>
          <w:p>
            <w:r>
              <w:rPr>
                <w:rFonts w:ascii="Calibri" w:hAnsi="Calibri"/>
                <w:sz w:val="22"/>
              </w:rPr>
              <w:t>PSTG</w:t>
            </w:r>
          </w:p>
        </w:tc>
        <w:tc>
          <w:tcPr>
            <w:tcW w:type="dxa" w:w="2160"/>
          </w:tcPr>
          <w:p>
            <w:r>
              <w:rPr>
                <w:rFonts w:ascii="Calibri" w:hAnsi="Calibri"/>
                <w:sz w:val="22"/>
              </w:rPr>
              <w:t>William Blair Conference (Jun 3)</w:t>
            </w:r>
          </w:p>
        </w:tc>
        <w:tc>
          <w:tcPr>
            <w:tcW w:type="dxa" w:w="2160"/>
          </w:tcPr>
          <w:p>
            <w:r>
              <w:rPr>
                <w:rFonts w:ascii="Calibri" w:hAnsi="Calibri"/>
                <w:sz w:val="22"/>
              </w:rPr>
              <w:t>Supply constrained on hyperscaler solution; 1/3 of quarterly growth from pricing; robust demand continuing into Q2; AI driving on-prem storage modernization</w:t>
            </w:r>
          </w:p>
        </w:tc>
        <w:tc>
          <w:tcPr>
            <w:tcW w:type="dxa" w:w="2160"/>
          </w:tcPr>
          <w:p>
            <w:r>
              <w:rPr>
                <w:rFonts w:ascii="Calibri" w:hAnsi="Calibri"/>
                <w:b/>
                <w:sz w:val="22"/>
              </w:rPr>
              <w:t>Moderate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last earnings is the announcement of an Investor Day on August 13, 2026 — one week after the Q4 print — which signals management confidence and will likely include a formal long-term financial framework, potentially a major catalyst for the stock regardless of the Q4 result.</w:t>
      </w:r>
    </w:p>
    <w:p>
      <w:pPr>
        <w:pStyle w:val="ListBullet"/>
        <w:ind w:left="360" w:hanging="360"/>
      </w:pPr>
      <w:r>
        <w:rPr>
          <w:rFonts w:ascii="Calibri" w:hAnsi="Calibri"/>
          <w:b/>
          <w:color w:val="525866"/>
          <w:sz w:val="22"/>
        </w:rPr>
        <w:t xml:space="preserve">August 13, 2026 — Investor Day Announced (July 9, 2026 press release): </w:t>
      </w:r>
      <w:r>
        <w:rPr>
          <w:rFonts w:ascii="Calibri" w:hAnsi="Calibri"/>
          <w:color w:val="525866"/>
          <w:sz w:val="22"/>
        </w:rPr>
        <w:t>SNDK announced an Investor Day on August 13, 2026 (one week post-earnings), featuring presentations from CEO David Goeckeler and CFO Luis Visoso on "the state of the business and the company's outlook going forward." This is a significant signal — management would not schedule an Investor Day immediately after earnings unless they had a compelling long-term story to tell. Implication: likely to include a formal multi-year financial framework, updated NBM targets, and potentially a long-term margin/EPS model that could be a major re-rating catalyst.</w:t>
      </w:r>
    </w:p>
    <w:p>
      <w:pPr>
        <w:pStyle w:val="ListBullet"/>
        <w:ind w:left="360" w:hanging="360"/>
      </w:pPr>
      <w:r>
        <w:rPr>
          <w:rFonts w:ascii="Calibri" w:hAnsi="Calibri"/>
          <w:b/>
          <w:color w:val="525866"/>
          <w:sz w:val="22"/>
        </w:rPr>
        <w:t xml:space="preserve">April 30, 2026 — $6 Billion Share Buyback Authorized (8-K): </w:t>
      </w:r>
      <w:r>
        <w:rPr>
          <w:rFonts w:ascii="Calibri" w:hAnsi="Calibri"/>
          <w:color w:val="525866"/>
          <w:sz w:val="22"/>
        </w:rPr>
        <w:t>Board authorized a $6B share repurchase program effective immediately with no expiration date, following full repayment of the term loan B. At the time of authorization, this represented ~10–12% of market cap. Implication: signals management confidence in cash generation sustainability and provides EPS accretion tailwind for Q4 and beyond.</w:t>
      </w:r>
    </w:p>
    <w:p>
      <w:pPr>
        <w:pStyle w:val="ListBullet"/>
        <w:ind w:left="360" w:hanging="360"/>
      </w:pPr>
      <w:r>
        <w:rPr>
          <w:rFonts w:ascii="Calibri" w:hAnsi="Calibri"/>
          <w:b/>
          <w:color w:val="525866"/>
          <w:sz w:val="22"/>
        </w:rPr>
        <w:t xml:space="preserve">April 30, 2026 — Five NBM Agreements Signed, $42B RPO Disclosed: </w:t>
      </w:r>
      <w:r>
        <w:rPr>
          <w:rFonts w:ascii="Calibri" w:hAnsi="Calibri"/>
          <w:color w:val="525866"/>
          <w:sz w:val="22"/>
        </w:rPr>
        <w:t>Three agreements signed in Q3 carry ~$42B in minimum contractual RPO; two additional signed in Q4 to date. Aggregate financial guarantees exceed $11B. Five NBMs cover &gt;1/3 of FY2027 bit shipments. Implication: structural transformation of business model from cyclical commodity to contracted revenue stream; RPO disclosure is a new investor metric to track quarterly.</w:t>
      </w:r>
    </w:p>
    <w:p>
      <w:pPr>
        <w:pStyle w:val="ListBullet"/>
        <w:ind w:left="360" w:hanging="360"/>
      </w:pPr>
      <w:r>
        <w:rPr>
          <w:rFonts w:ascii="Calibri" w:hAnsi="Calibri"/>
          <w:b/>
          <w:color w:val="525866"/>
          <w:sz w:val="22"/>
        </w:rPr>
        <w:t xml:space="preserve">April 30, 2026 — Zero Debt Balance Sheet Achieved: </w:t>
      </w:r>
      <w:r>
        <w:rPr>
          <w:rFonts w:ascii="Calibri" w:hAnsi="Calibri"/>
          <w:color w:val="525866"/>
          <w:sz w:val="22"/>
        </w:rPr>
        <w:t>Remaining TLB balance fully repaid, achieving net cash position. Implication: removes financial risk, enables capital returns, and reduces interest expense — EPS accretive.</w:t>
      </w:r>
    </w:p>
    <w:p>
      <w:pPr>
        <w:pStyle w:val="ListBullet"/>
        <w:ind w:left="360" w:hanging="360"/>
      </w:pPr>
      <w:r>
        <w:rPr>
          <w:rFonts w:ascii="Calibri" w:hAnsi="Calibri"/>
          <w:b/>
          <w:color w:val="525866"/>
          <w:sz w:val="22"/>
        </w:rPr>
        <w:t xml:space="preserve">May 14, 2026 — Mini-Tender Offer Advisory (8-K): </w:t>
      </w:r>
      <w:r>
        <w:rPr>
          <w:rFonts w:ascii="Calibri" w:hAnsi="Calibri"/>
          <w:color w:val="525866"/>
          <w:sz w:val="22"/>
        </w:rPr>
        <w:t>SNDK advised shareholders against an unsolicited mini-tender offer. Implication: routine defensive advisory; no material impact on fundamentals, but signals the stock's elevated valuation attracted opportunistic actors.</w:t>
      </w:r>
    </w:p>
    <w:p>
      <w:pPr>
        <w:pStyle w:val="ListBullet"/>
        <w:ind w:left="360" w:hanging="360"/>
      </w:pPr>
      <w:r>
        <w:rPr>
          <w:rFonts w:ascii="Calibri" w:hAnsi="Calibri"/>
          <w:b/>
          <w:color w:val="525866"/>
          <w:sz w:val="22"/>
        </w:rPr>
        <w:t xml:space="preserve">March 2026 — Strategic Equity Investment in Nanya Technology: </w:t>
      </w:r>
      <w:r>
        <w:rPr>
          <w:rFonts w:ascii="Calibri" w:hAnsi="Calibri"/>
          <w:color w:val="525866"/>
          <w:sz w:val="22"/>
        </w:rPr>
        <w:t>SNDK (alongside Kioxia, Solidigm, and Cisco) made a minority equity investment in Nanya Technology with a multi-year DRAM supply arrangement. Nanya is building new fab capacity targeting production in 2027–2028. Implication: secures long-term DRAM sourcing as SSD products increasingly require DRAM components; reduces supply chain risk.</w:t>
      </w:r>
    </w:p>
    <w:p>
      <w:pPr>
        <w:pStyle w:val="ListBullet"/>
        <w:ind w:left="360" w:hanging="360"/>
      </w:pPr>
      <w:r>
        <w:rPr>
          <w:rFonts w:ascii="Calibri" w:hAnsi="Calibri"/>
          <w:b/>
          <w:color w:val="525866"/>
          <w:sz w:val="22"/>
        </w:rPr>
        <w:t xml:space="preserve">Ongoing — QLC Stargate Revenue Shipments Begin in Q4: </w:t>
      </w:r>
      <w:r>
        <w:rPr>
          <w:rFonts w:ascii="Calibri" w:hAnsi="Calibri"/>
          <w:color w:val="525866"/>
          <w:sz w:val="22"/>
        </w:rPr>
        <w:t>Management guided to begin shipping QLC Stargate solutions for revenue in Q4 FY2026, adding a second major data center product pillar alongside the existing TLC enterprise SSD portfolio. Implication: the magnitude of QLC Stargate revenue contribution is the key unknown and the primary upside/downside swing factor for the Q4 print.</w:t>
      </w:r>
    </w:p>
    <w:p>
      <w:pPr>
        <w:pStyle w:val="ListBullet"/>
        <w:ind w:left="360" w:hanging="360"/>
      </w:pPr>
      <w:r>
        <w:rPr>
          <w:rFonts w:ascii="Calibri" w:hAnsi="Calibri"/>
          <w:b/>
          <w:color w:val="525866"/>
          <w:sz w:val="22"/>
        </w:rPr>
        <w:t xml:space="preserve">Ongoing — HBF Development on Track: </w:t>
      </w:r>
      <w:r>
        <w:rPr>
          <w:rFonts w:ascii="Calibri" w:hAnsi="Calibri"/>
          <w:color w:val="525866"/>
          <w:sz w:val="22"/>
        </w:rPr>
        <w:t>NAND die expected late 2026; full device (die + controller) expected early-to-mid 2027 for customer evaluation. Implication: not a near-term revenue driver but a key long-term differentiation story; any update on timeline or customer engagement at Investor Day would be closely watched.</w:t>
      </w:r>
    </w:p>
    <w:p>
      <w:pPr>
        <w:pStyle w:val="ListBullet"/>
        <w:ind w:left="360" w:hanging="360"/>
      </w:pPr>
      <w:r>
        <w:rPr>
          <w:rFonts w:ascii="Calibri" w:hAnsi="Calibri"/>
          <w:b/>
          <w:color w:val="525866"/>
          <w:sz w:val="22"/>
        </w:rPr>
        <w:t xml:space="preserve">Ongoing — Kioxia JV Extended to 2034: </w:t>
      </w:r>
      <w:r>
        <w:rPr>
          <w:rFonts w:ascii="Calibri" w:hAnsi="Calibri"/>
          <w:color w:val="525866"/>
          <w:sz w:val="22"/>
        </w:rPr>
        <w:t>~$1B investment to extend the Kioxia manufacturing agreement from 2030 to 2034. Implication: long-horizon demand conviction; secures manufacturing partnership continuity well into the next decade and supports the NBM multi-year supply commitment framework.</w:t>
      </w:r>
    </w:p>
    <w:p>
      <w:pPr>
        <w:pStyle w:val="ListBullet"/>
        <w:ind w:left="360" w:hanging="360"/>
      </w:pPr>
      <w:r>
        <w:rPr>
          <w:rFonts w:ascii="Calibri" w:hAnsi="Calibri"/>
          <w:b/>
          <w:color w:val="525866"/>
          <w:sz w:val="22"/>
        </w:rPr>
        <w:t xml:space="preserve">Peer Read-Through — Micron Q3 FY2026 (June 24, 2026): </w:t>
      </w:r>
      <w:r>
        <w:rPr>
          <w:rFonts w:ascii="Calibri" w:hAnsi="Calibri"/>
          <w:color w:val="525866"/>
          <w:sz w:val="22"/>
        </w:rPr>
        <w:t>MU reported record results with NAND prices up mid-80s% sequentially and guided for record $50B revenue in its fiscal Q4. MU's 16 SCAs covering 1/3 of NAND volume validates SNDK's NBM approach. Implication: strongest possible external validation of SNDK's pricing environment and business model transformation.</w:t>
      </w:r>
    </w:p>
    <w:p>
      <w:pPr>
        <w:pStyle w:val="ListBullet"/>
        <w:ind w:left="360" w:hanging="360"/>
      </w:pPr>
      <w:r>
        <w:rPr>
          <w:rFonts w:ascii="Calibri" w:hAnsi="Calibri"/>
          <w:b/>
          <w:color w:val="525866"/>
          <w:sz w:val="22"/>
        </w:rPr>
        <w:t xml:space="preserve">Peer Read-Through — Seagate Q4 FY2026 (July 28, 2026): </w:t>
      </w:r>
      <w:r>
        <w:rPr>
          <w:rFonts w:ascii="Calibri" w:hAnsi="Calibri"/>
          <w:color w:val="525866"/>
          <w:sz w:val="22"/>
        </w:rPr>
        <w:t>STX reported strong results and guided September quarter at $4.1B (+56% YoY) with ~50% non-GAAP operating margin. STX noted the supply-demand gap is "now a little bit bigger than a few quarters ago." Implication: most recent storage sector data point before SNDK's print; confirms demand acceleration and supply discipline.</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No open-market buys since the spinoff — all insider activity consists of tax-withholding share surrenders (Form 4 code 'F') and 10b5-1 planned sales. The absence of discretionary open-market purchases at current prices is notable given the stock's pullback, but the pattern is consistent with a newly public company where insiders are managing tax obligations from vesting events rather than making directional bets.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Bernard Shek</w:t>
            </w:r>
          </w:p>
        </w:tc>
        <w:tc>
          <w:tcPr>
            <w:tcW w:type="dxa" w:w="1440"/>
          </w:tcPr>
          <w:p>
            <w:r>
              <w:rPr>
                <w:rFonts w:ascii="Calibri" w:hAnsi="Calibri"/>
                <w:sz w:val="22"/>
              </w:rPr>
              <w:t>Chief Legal Officer &amp; Secretary</w:t>
            </w:r>
          </w:p>
        </w:tc>
        <w:tc>
          <w:tcPr>
            <w:tcW w:type="dxa" w:w="1440"/>
          </w:tcPr>
          <w:p>
            <w:r>
              <w:rPr>
                <w:rFonts w:ascii="Calibri" w:hAnsi="Calibri"/>
                <w:sz w:val="22"/>
              </w:rPr>
              <w:t>10b5-1 Planned Sale</w:t>
            </w:r>
          </w:p>
        </w:tc>
        <w:tc>
          <w:tcPr>
            <w:tcW w:type="dxa" w:w="1440"/>
          </w:tcPr>
          <w:p>
            <w:r>
              <w:rPr>
                <w:rFonts w:ascii="Calibri" w:hAnsi="Calibri"/>
                <w:sz w:val="22"/>
              </w:rPr>
              <w:t>600</w:t>
            </w:r>
          </w:p>
        </w:tc>
        <w:tc>
          <w:tcPr>
            <w:tcW w:type="dxa" w:w="1440"/>
          </w:tcPr>
          <w:p>
            <w:r>
              <w:rPr>
                <w:rFonts w:ascii="Calibri" w:hAnsi="Calibri"/>
                <w:sz w:val="22"/>
              </w:rPr>
              <w:t>Jul 1, 2026</w:t>
            </w:r>
          </w:p>
        </w:tc>
        <w:tc>
          <w:tcPr>
            <w:tcW w:type="dxa" w:w="1440"/>
          </w:tcPr>
          <w:p>
            <w:r>
              <w:rPr>
                <w:rFonts w:ascii="Calibri" w:hAnsi="Calibri"/>
                <w:sz w:val="22"/>
              </w:rPr>
              <w:t>Pre-scheduled 10b5-1 plan; not discretionary</w:t>
            </w:r>
          </w:p>
        </w:tc>
      </w:tr>
      <w:tr>
        <w:tc>
          <w:tcPr>
            <w:tcW w:type="dxa" w:w="1440"/>
          </w:tcPr>
          <w:p>
            <w:r>
              <w:rPr>
                <w:rFonts w:ascii="Calibri" w:hAnsi="Calibri"/>
                <w:sz w:val="22"/>
              </w:rPr>
              <w:t>Bernard Shek</w:t>
            </w:r>
          </w:p>
        </w:tc>
        <w:tc>
          <w:tcPr>
            <w:tcW w:type="dxa" w:w="1440"/>
          </w:tcPr>
          <w:p>
            <w:r>
              <w:rPr>
                <w:rFonts w:ascii="Calibri" w:hAnsi="Calibri"/>
                <w:sz w:val="22"/>
              </w:rPr>
              <w:t>Chief Legal Officer &amp; Secretary</w:t>
            </w:r>
          </w:p>
        </w:tc>
        <w:tc>
          <w:tcPr>
            <w:tcW w:type="dxa" w:w="1440"/>
          </w:tcPr>
          <w:p>
            <w:r>
              <w:rPr>
                <w:rFonts w:ascii="Calibri" w:hAnsi="Calibri"/>
                <w:sz w:val="22"/>
              </w:rPr>
              <w:t>Tax Withholding (F)</w:t>
            </w:r>
          </w:p>
        </w:tc>
        <w:tc>
          <w:tcPr>
            <w:tcW w:type="dxa" w:w="1440"/>
          </w:tcPr>
          <w:p>
            <w:r>
              <w:rPr>
                <w:rFonts w:ascii="Calibri" w:hAnsi="Calibri"/>
                <w:sz w:val="22"/>
              </w:rPr>
              <w:t>117</w:t>
            </w:r>
          </w:p>
        </w:tc>
        <w:tc>
          <w:tcPr>
            <w:tcW w:type="dxa" w:w="1440"/>
          </w:tcPr>
          <w:p>
            <w:r>
              <w:rPr>
                <w:rFonts w:ascii="Calibri" w:hAnsi="Calibri"/>
                <w:sz w:val="22"/>
              </w:rPr>
              <w:t>Jun 20, 2026</w:t>
            </w:r>
          </w:p>
        </w:tc>
        <w:tc>
          <w:tcPr>
            <w:tcW w:type="dxa" w:w="1440"/>
          </w:tcPr>
          <w:p>
            <w:r>
              <w:rPr>
                <w:rFonts w:ascii="Calibri" w:hAnsi="Calibri"/>
                <w:sz w:val="22"/>
              </w:rPr>
              <w:t>Shares withheld for tax on vesting; obligation-driven</w:t>
            </w:r>
          </w:p>
        </w:tc>
      </w:tr>
      <w:tr>
        <w:tc>
          <w:tcPr>
            <w:tcW w:type="dxa" w:w="1440"/>
          </w:tcPr>
          <w:p>
            <w:r>
              <w:rPr>
                <w:rFonts w:ascii="Calibri" w:hAnsi="Calibri"/>
                <w:sz w:val="22"/>
              </w:rPr>
              <w:t>Bernard Shek</w:t>
            </w:r>
          </w:p>
        </w:tc>
        <w:tc>
          <w:tcPr>
            <w:tcW w:type="dxa" w:w="1440"/>
          </w:tcPr>
          <w:p>
            <w:r>
              <w:rPr>
                <w:rFonts w:ascii="Calibri" w:hAnsi="Calibri"/>
                <w:sz w:val="22"/>
              </w:rPr>
              <w:t>Chief Legal Officer &amp; Secretary</w:t>
            </w:r>
          </w:p>
        </w:tc>
        <w:tc>
          <w:tcPr>
            <w:tcW w:type="dxa" w:w="1440"/>
          </w:tcPr>
          <w:p>
            <w:r>
              <w:rPr>
                <w:rFonts w:ascii="Calibri" w:hAnsi="Calibri"/>
                <w:sz w:val="22"/>
              </w:rPr>
              <w:t>10b5-1 Planned Sale</w:t>
            </w:r>
          </w:p>
        </w:tc>
        <w:tc>
          <w:tcPr>
            <w:tcW w:type="dxa" w:w="1440"/>
          </w:tcPr>
          <w:p>
            <w:r>
              <w:rPr>
                <w:rFonts w:ascii="Calibri" w:hAnsi="Calibri"/>
                <w:sz w:val="22"/>
              </w:rPr>
              <w:t>600</w:t>
            </w:r>
          </w:p>
        </w:tc>
        <w:tc>
          <w:tcPr>
            <w:tcW w:type="dxa" w:w="1440"/>
          </w:tcPr>
          <w:p>
            <w:r>
              <w:rPr>
                <w:rFonts w:ascii="Calibri" w:hAnsi="Calibri"/>
                <w:sz w:val="22"/>
              </w:rPr>
              <w:t>Jun 3, 2026</w:t>
            </w:r>
          </w:p>
        </w:tc>
        <w:tc>
          <w:tcPr>
            <w:tcW w:type="dxa" w:w="1440"/>
          </w:tcPr>
          <w:p>
            <w:r>
              <w:rPr>
                <w:rFonts w:ascii="Calibri" w:hAnsi="Calibri"/>
                <w:sz w:val="22"/>
              </w:rPr>
              <w:t>Pre-scheduled 10b5-1 plan; not discretionary</w:t>
            </w:r>
          </w:p>
        </w:tc>
      </w:tr>
      <w:tr>
        <w:tc>
          <w:tcPr>
            <w:tcW w:type="dxa" w:w="1440"/>
          </w:tcPr>
          <w:p>
            <w:r>
              <w:rPr>
                <w:rFonts w:ascii="Calibri" w:hAnsi="Calibri"/>
                <w:sz w:val="22"/>
              </w:rPr>
              <w:t>Alper Ilkbahar</w:t>
            </w:r>
          </w:p>
        </w:tc>
        <w:tc>
          <w:tcPr>
            <w:tcW w:type="dxa" w:w="1440"/>
          </w:tcPr>
          <w:p>
            <w:r>
              <w:rPr>
                <w:rFonts w:ascii="Calibri" w:hAnsi="Calibri"/>
                <w:sz w:val="22"/>
              </w:rPr>
              <w:t>EVP, Chief Technology Officer</w:t>
            </w:r>
          </w:p>
        </w:tc>
        <w:tc>
          <w:tcPr>
            <w:tcW w:type="dxa" w:w="1440"/>
          </w:tcPr>
          <w:p>
            <w:r>
              <w:rPr>
                <w:rFonts w:ascii="Calibri" w:hAnsi="Calibri"/>
                <w:sz w:val="22"/>
              </w:rPr>
              <w:t>Open Market Sale</w:t>
            </w:r>
          </w:p>
        </w:tc>
        <w:tc>
          <w:tcPr>
            <w:tcW w:type="dxa" w:w="1440"/>
          </w:tcPr>
          <w:p>
            <w:r>
              <w:rPr>
                <w:rFonts w:ascii="Calibri" w:hAnsi="Calibri"/>
                <w:sz w:val="22"/>
              </w:rPr>
              <w:t>2,000</w:t>
            </w:r>
          </w:p>
        </w:tc>
        <w:tc>
          <w:tcPr>
            <w:tcW w:type="dxa" w:w="1440"/>
          </w:tcPr>
          <w:p>
            <w:r>
              <w:rPr>
                <w:rFonts w:ascii="Calibri" w:hAnsi="Calibri"/>
                <w:sz w:val="22"/>
              </w:rPr>
              <w:t>Jun 1, 2026</w:t>
            </w:r>
          </w:p>
        </w:tc>
        <w:tc>
          <w:tcPr>
            <w:tcW w:type="dxa" w:w="1440"/>
          </w:tcPr>
          <w:p>
            <w:r>
              <w:rPr>
                <w:rFonts w:ascii="Calibri" w:hAnsi="Calibri"/>
                <w:sz w:val="22"/>
              </w:rPr>
              <w:t>Discretionary open-market sale; notable given stock near all-time highs at the time</w:t>
            </w:r>
          </w:p>
        </w:tc>
      </w:tr>
      <w:tr>
        <w:tc>
          <w:tcPr>
            <w:tcW w:type="dxa" w:w="1440"/>
          </w:tcPr>
          <w:p>
            <w:r>
              <w:rPr>
                <w:rFonts w:ascii="Calibri" w:hAnsi="Calibri"/>
                <w:sz w:val="22"/>
              </w:rPr>
              <w:t>David Goeckeler</w:t>
            </w:r>
          </w:p>
        </w:tc>
        <w:tc>
          <w:tcPr>
            <w:tcW w:type="dxa" w:w="1440"/>
          </w:tcPr>
          <w:p>
            <w:r>
              <w:rPr>
                <w:rFonts w:ascii="Calibri" w:hAnsi="Calibri"/>
                <w:sz w:val="22"/>
              </w:rPr>
              <w:t>Chairman &amp; CEO</w:t>
            </w:r>
          </w:p>
        </w:tc>
        <w:tc>
          <w:tcPr>
            <w:tcW w:type="dxa" w:w="1440"/>
          </w:tcPr>
          <w:p>
            <w:r>
              <w:rPr>
                <w:rFonts w:ascii="Calibri" w:hAnsi="Calibri"/>
                <w:sz w:val="22"/>
              </w:rPr>
              <w:t>Tax Withholding (F)</w:t>
            </w:r>
          </w:p>
        </w:tc>
        <w:tc>
          <w:tcPr>
            <w:tcW w:type="dxa" w:w="1440"/>
          </w:tcPr>
          <w:p>
            <w:r>
              <w:rPr>
                <w:rFonts w:ascii="Calibri" w:hAnsi="Calibri"/>
                <w:sz w:val="22"/>
              </w:rPr>
              <w:t>1,569</w:t>
            </w:r>
          </w:p>
        </w:tc>
        <w:tc>
          <w:tcPr>
            <w:tcW w:type="dxa" w:w="1440"/>
          </w:tcPr>
          <w:p>
            <w:r>
              <w:rPr>
                <w:rFonts w:ascii="Calibri" w:hAnsi="Calibri"/>
                <w:sz w:val="22"/>
              </w:rPr>
              <w:t>May 25, 2026</w:t>
            </w:r>
          </w:p>
        </w:tc>
        <w:tc>
          <w:tcPr>
            <w:tcW w:type="dxa" w:w="1440"/>
          </w:tcPr>
          <w:p>
            <w:r>
              <w:rPr>
                <w:rFonts w:ascii="Calibri" w:hAnsi="Calibri"/>
                <w:sz w:val="22"/>
              </w:rPr>
              <w:t>Shares withheld for tax on vesting; obligation-driven; CEO retains 509,903 shares</w:t>
            </w:r>
          </w:p>
        </w:tc>
      </w:tr>
      <w:tr>
        <w:tc>
          <w:tcPr>
            <w:tcW w:type="dxa" w:w="1440"/>
          </w:tcPr>
          <w:p>
            <w:r>
              <w:rPr>
                <w:rFonts w:ascii="Calibri" w:hAnsi="Calibri"/>
                <w:sz w:val="22"/>
              </w:rPr>
              <w:t>Alper Ilkbahar</w:t>
            </w:r>
          </w:p>
        </w:tc>
        <w:tc>
          <w:tcPr>
            <w:tcW w:type="dxa" w:w="1440"/>
          </w:tcPr>
          <w:p>
            <w:r>
              <w:rPr>
                <w:rFonts w:ascii="Calibri" w:hAnsi="Calibri"/>
                <w:sz w:val="22"/>
              </w:rPr>
              <w:t>EVP, Chief Technology Officer</w:t>
            </w:r>
          </w:p>
        </w:tc>
        <w:tc>
          <w:tcPr>
            <w:tcW w:type="dxa" w:w="1440"/>
          </w:tcPr>
          <w:p>
            <w:r>
              <w:rPr>
                <w:rFonts w:ascii="Calibri" w:hAnsi="Calibri"/>
                <w:sz w:val="22"/>
              </w:rPr>
              <w:t>Tax Withholding (F)</w:t>
            </w:r>
          </w:p>
        </w:tc>
        <w:tc>
          <w:tcPr>
            <w:tcW w:type="dxa" w:w="1440"/>
          </w:tcPr>
          <w:p>
            <w:r>
              <w:rPr>
                <w:rFonts w:ascii="Calibri" w:hAnsi="Calibri"/>
                <w:sz w:val="22"/>
              </w:rPr>
              <w:t>653</w:t>
            </w:r>
          </w:p>
        </w:tc>
        <w:tc>
          <w:tcPr>
            <w:tcW w:type="dxa" w:w="1440"/>
          </w:tcPr>
          <w:p>
            <w:r>
              <w:rPr>
                <w:rFonts w:ascii="Calibri" w:hAnsi="Calibri"/>
                <w:sz w:val="22"/>
              </w:rPr>
              <w:t>May 25, 2026</w:t>
            </w:r>
          </w:p>
        </w:tc>
        <w:tc>
          <w:tcPr>
            <w:tcW w:type="dxa" w:w="1440"/>
          </w:tcPr>
          <w:p>
            <w:r>
              <w:rPr>
                <w:rFonts w:ascii="Calibri" w:hAnsi="Calibri"/>
                <w:sz w:val="22"/>
              </w:rPr>
              <w:t>Shares withheld for tax on vesting; obligation-driven</w:t>
            </w:r>
          </w:p>
        </w:tc>
      </w:tr>
      <w:tr>
        <w:tc>
          <w:tcPr>
            <w:tcW w:type="dxa" w:w="1440"/>
          </w:tcPr>
          <w:p>
            <w:r>
              <w:rPr>
                <w:rFonts w:ascii="Calibri" w:hAnsi="Calibri"/>
                <w:sz w:val="22"/>
              </w:rPr>
              <w:t>Bernard Shek</w:t>
            </w:r>
          </w:p>
        </w:tc>
        <w:tc>
          <w:tcPr>
            <w:tcW w:type="dxa" w:w="1440"/>
          </w:tcPr>
          <w:p>
            <w:r>
              <w:rPr>
                <w:rFonts w:ascii="Calibri" w:hAnsi="Calibri"/>
                <w:sz w:val="22"/>
              </w:rPr>
              <w:t>Chief Legal Officer &amp; Secretary</w:t>
            </w:r>
          </w:p>
        </w:tc>
        <w:tc>
          <w:tcPr>
            <w:tcW w:type="dxa" w:w="1440"/>
          </w:tcPr>
          <w:p>
            <w:r>
              <w:rPr>
                <w:rFonts w:ascii="Calibri" w:hAnsi="Calibri"/>
                <w:sz w:val="22"/>
              </w:rPr>
              <w:t>Tax Withholding (F)</w:t>
            </w:r>
          </w:p>
        </w:tc>
        <w:tc>
          <w:tcPr>
            <w:tcW w:type="dxa" w:w="1440"/>
          </w:tcPr>
          <w:p>
            <w:r>
              <w:rPr>
                <w:rFonts w:ascii="Calibri" w:hAnsi="Calibri"/>
                <w:sz w:val="22"/>
              </w:rPr>
              <w:t>211</w:t>
            </w:r>
          </w:p>
        </w:tc>
        <w:tc>
          <w:tcPr>
            <w:tcW w:type="dxa" w:w="1440"/>
          </w:tcPr>
          <w:p>
            <w:r>
              <w:rPr>
                <w:rFonts w:ascii="Calibri" w:hAnsi="Calibri"/>
                <w:sz w:val="22"/>
              </w:rPr>
              <w:t>May 25, 2026</w:t>
            </w:r>
          </w:p>
        </w:tc>
        <w:tc>
          <w:tcPr>
            <w:tcW w:type="dxa" w:w="1440"/>
          </w:tcPr>
          <w:p>
            <w:r>
              <w:rPr>
                <w:rFonts w:ascii="Calibri" w:hAnsi="Calibri"/>
                <w:sz w:val="22"/>
              </w:rPr>
              <w:t>Shares withheld for tax on vesting; obligation-driven</w:t>
            </w:r>
          </w:p>
        </w:tc>
      </w:tr>
      <w:tr>
        <w:tc>
          <w:tcPr>
            <w:tcW w:type="dxa" w:w="1440"/>
          </w:tcPr>
          <w:p>
            <w:r>
              <w:rPr>
                <w:rFonts w:ascii="Calibri" w:hAnsi="Calibri"/>
                <w:sz w:val="22"/>
              </w:rPr>
              <w:t>David Goeckeler</w:t>
            </w:r>
          </w:p>
        </w:tc>
        <w:tc>
          <w:tcPr>
            <w:tcW w:type="dxa" w:w="1440"/>
          </w:tcPr>
          <w:p>
            <w:r>
              <w:rPr>
                <w:rFonts w:ascii="Calibri" w:hAnsi="Calibri"/>
                <w:sz w:val="22"/>
              </w:rPr>
              <w:t>Chairman &amp; CEO</w:t>
            </w:r>
          </w:p>
        </w:tc>
        <w:tc>
          <w:tcPr>
            <w:tcW w:type="dxa" w:w="1440"/>
          </w:tcPr>
          <w:p>
            <w:r>
              <w:rPr>
                <w:rFonts w:ascii="Calibri" w:hAnsi="Calibri"/>
                <w:sz w:val="22"/>
              </w:rPr>
              <w:t>Tax Withholding (F)</w:t>
            </w:r>
          </w:p>
        </w:tc>
        <w:tc>
          <w:tcPr>
            <w:tcW w:type="dxa" w:w="1440"/>
          </w:tcPr>
          <w:p>
            <w:r>
              <w:rPr>
                <w:rFonts w:ascii="Calibri" w:hAnsi="Calibri"/>
                <w:sz w:val="22"/>
              </w:rPr>
              <w:t>1,299</w:t>
            </w:r>
          </w:p>
        </w:tc>
        <w:tc>
          <w:tcPr>
            <w:tcW w:type="dxa" w:w="1440"/>
          </w:tcPr>
          <w:p>
            <w:r>
              <w:rPr>
                <w:rFonts w:ascii="Calibri" w:hAnsi="Calibri"/>
                <w:sz w:val="22"/>
              </w:rPr>
              <w:t>May 20, 2026</w:t>
            </w:r>
          </w:p>
        </w:tc>
        <w:tc>
          <w:tcPr>
            <w:tcW w:type="dxa" w:w="1440"/>
          </w:tcPr>
          <w:p>
            <w:r>
              <w:rPr>
                <w:rFonts w:ascii="Calibri" w:hAnsi="Calibri"/>
                <w:sz w:val="22"/>
              </w:rPr>
              <w:t>Shares withheld for tax on vesting; obligation-driven; CEO retains 512,504 shares</w:t>
            </w:r>
          </w:p>
        </w:tc>
      </w:tr>
      <w:tr>
        <w:tc>
          <w:tcPr>
            <w:tcW w:type="dxa" w:w="1440"/>
          </w:tcPr>
          <w:p>
            <w:r>
              <w:rPr>
                <w:rFonts w:ascii="Calibri" w:hAnsi="Calibri"/>
                <w:sz w:val="22"/>
              </w:rPr>
              <w:t>Alper Ilkbahar</w:t>
            </w:r>
          </w:p>
        </w:tc>
        <w:tc>
          <w:tcPr>
            <w:tcW w:type="dxa" w:w="1440"/>
          </w:tcPr>
          <w:p>
            <w:r>
              <w:rPr>
                <w:rFonts w:ascii="Calibri" w:hAnsi="Calibri"/>
                <w:sz w:val="22"/>
              </w:rPr>
              <w:t>EVP, Chief Technology Officer</w:t>
            </w:r>
          </w:p>
        </w:tc>
        <w:tc>
          <w:tcPr>
            <w:tcW w:type="dxa" w:w="1440"/>
          </w:tcPr>
          <w:p>
            <w:r>
              <w:rPr>
                <w:rFonts w:ascii="Calibri" w:hAnsi="Calibri"/>
                <w:sz w:val="22"/>
              </w:rPr>
              <w:t>Tax Withholding (F)</w:t>
            </w:r>
          </w:p>
        </w:tc>
        <w:tc>
          <w:tcPr>
            <w:tcW w:type="dxa" w:w="1440"/>
          </w:tcPr>
          <w:p>
            <w:r>
              <w:rPr>
                <w:rFonts w:ascii="Calibri" w:hAnsi="Calibri"/>
                <w:sz w:val="22"/>
              </w:rPr>
              <w:t>162</w:t>
            </w:r>
          </w:p>
        </w:tc>
        <w:tc>
          <w:tcPr>
            <w:tcW w:type="dxa" w:w="1440"/>
          </w:tcPr>
          <w:p>
            <w:r>
              <w:rPr>
                <w:rFonts w:ascii="Calibri" w:hAnsi="Calibri"/>
                <w:sz w:val="22"/>
              </w:rPr>
              <w:t>May 20, 2026</w:t>
            </w:r>
          </w:p>
        </w:tc>
        <w:tc>
          <w:tcPr>
            <w:tcW w:type="dxa" w:w="1440"/>
          </w:tcPr>
          <w:p>
            <w:r>
              <w:rPr>
                <w:rFonts w:ascii="Calibri" w:hAnsi="Calibri"/>
                <w:sz w:val="22"/>
              </w:rPr>
              <w:t>Shares withheld for tax on vesting; obligation-driven</w:t>
            </w:r>
          </w:p>
        </w:tc>
      </w:tr>
      <w:tr>
        <w:tc>
          <w:tcPr>
            <w:tcW w:type="dxa" w:w="1440"/>
          </w:tcPr>
          <w:p>
            <w:r>
              <w:rPr>
                <w:rFonts w:ascii="Calibri" w:hAnsi="Calibri"/>
                <w:sz w:val="22"/>
              </w:rPr>
              <w:t>Bernard Shek</w:t>
            </w:r>
          </w:p>
        </w:tc>
        <w:tc>
          <w:tcPr>
            <w:tcW w:type="dxa" w:w="1440"/>
          </w:tcPr>
          <w:p>
            <w:r>
              <w:rPr>
                <w:rFonts w:ascii="Calibri" w:hAnsi="Calibri"/>
                <w:sz w:val="22"/>
              </w:rPr>
              <w:t>Chief Legal Officer &amp; Secretary</w:t>
            </w:r>
          </w:p>
        </w:tc>
        <w:tc>
          <w:tcPr>
            <w:tcW w:type="dxa" w:w="1440"/>
          </w:tcPr>
          <w:p>
            <w:r>
              <w:rPr>
                <w:rFonts w:ascii="Calibri" w:hAnsi="Calibri"/>
                <w:sz w:val="22"/>
              </w:rPr>
              <w:t>Tax Withholding (F)</w:t>
            </w:r>
          </w:p>
        </w:tc>
        <w:tc>
          <w:tcPr>
            <w:tcW w:type="dxa" w:w="1440"/>
          </w:tcPr>
          <w:p>
            <w:r>
              <w:rPr>
                <w:rFonts w:ascii="Calibri" w:hAnsi="Calibri"/>
                <w:sz w:val="22"/>
              </w:rPr>
              <w:t>109</w:t>
            </w:r>
          </w:p>
        </w:tc>
        <w:tc>
          <w:tcPr>
            <w:tcW w:type="dxa" w:w="1440"/>
          </w:tcPr>
          <w:p>
            <w:r>
              <w:rPr>
                <w:rFonts w:ascii="Calibri" w:hAnsi="Calibri"/>
                <w:sz w:val="22"/>
              </w:rPr>
              <w:t>May 20, 2026</w:t>
            </w:r>
          </w:p>
        </w:tc>
        <w:tc>
          <w:tcPr>
            <w:tcW w:type="dxa" w:w="1440"/>
          </w:tcPr>
          <w:p>
            <w:r>
              <w:rPr>
                <w:rFonts w:ascii="Calibri" w:hAnsi="Calibri"/>
                <w:sz w:val="22"/>
              </w:rPr>
              <w:t>Shares withheld for tax on vesting; obligation-driven</w:t>
            </w:r>
          </w:p>
        </w:tc>
      </w:tr>
      <w:tr>
        <w:tc>
          <w:tcPr>
            <w:tcW w:type="dxa" w:w="1440"/>
          </w:tcPr>
          <w:p>
            <w:r>
              <w:rPr>
                <w:rFonts w:ascii="Calibri" w:hAnsi="Calibri"/>
                <w:sz w:val="22"/>
              </w:rPr>
              <w:t>Luis Felipe Visoso</w:t>
            </w:r>
          </w:p>
        </w:tc>
        <w:tc>
          <w:tcPr>
            <w:tcW w:type="dxa" w:w="1440"/>
          </w:tcPr>
          <w:p>
            <w:r>
              <w:rPr>
                <w:rFonts w:ascii="Calibri" w:hAnsi="Calibri"/>
                <w:sz w:val="22"/>
              </w:rPr>
              <w:t>EVP &amp; Chief Financial Officer</w:t>
            </w:r>
          </w:p>
        </w:tc>
        <w:tc>
          <w:tcPr>
            <w:tcW w:type="dxa" w:w="1440"/>
          </w:tcPr>
          <w:p>
            <w:r>
              <w:rPr>
                <w:rFonts w:ascii="Calibri" w:hAnsi="Calibri"/>
                <w:sz w:val="22"/>
              </w:rPr>
              <w:t>Tax Withholding (F)</w:t>
            </w:r>
          </w:p>
        </w:tc>
        <w:tc>
          <w:tcPr>
            <w:tcW w:type="dxa" w:w="1440"/>
          </w:tcPr>
          <w:p>
            <w:r>
              <w:rPr>
                <w:rFonts w:ascii="Calibri" w:hAnsi="Calibri"/>
                <w:sz w:val="22"/>
              </w:rPr>
              <w:t>1,588</w:t>
            </w:r>
          </w:p>
        </w:tc>
        <w:tc>
          <w:tcPr>
            <w:tcW w:type="dxa" w:w="1440"/>
          </w:tcPr>
          <w:p>
            <w:r>
              <w:rPr>
                <w:rFonts w:ascii="Calibri" w:hAnsi="Calibri"/>
                <w:sz w:val="22"/>
              </w:rPr>
              <w:t>May 21, 2026</w:t>
            </w:r>
          </w:p>
        </w:tc>
        <w:tc>
          <w:tcPr>
            <w:tcW w:type="dxa" w:w="1440"/>
          </w:tcPr>
          <w:p>
            <w:r>
              <w:rPr>
                <w:rFonts w:ascii="Calibri" w:hAnsi="Calibri"/>
                <w:sz w:val="22"/>
              </w:rPr>
              <w:t>Shares withheld for tax on vesting; obligation-driven; CFO retains 165,058 shares</w:t>
            </w:r>
          </w:p>
        </w:tc>
      </w:tr>
      <w:tr>
        <w:tc>
          <w:tcPr>
            <w:tcW w:type="dxa" w:w="1440"/>
          </w:tcPr>
          <w:p>
            <w:r>
              <w:rPr>
                <w:rFonts w:ascii="Calibri" w:hAnsi="Calibri"/>
                <w:sz w:val="22"/>
              </w:rPr>
              <w:t>Thomas Caulfield</w:t>
            </w:r>
          </w:p>
        </w:tc>
        <w:tc>
          <w:tcPr>
            <w:tcW w:type="dxa" w:w="1440"/>
          </w:tcPr>
          <w:p>
            <w:r>
              <w:rPr>
                <w:rFonts w:ascii="Calibri" w:hAnsi="Calibri"/>
                <w:sz w:val="22"/>
              </w:rPr>
              <w:t>Director</w:t>
            </w:r>
          </w:p>
        </w:tc>
        <w:tc>
          <w:tcPr>
            <w:tcW w:type="dxa" w:w="1440"/>
          </w:tcPr>
          <w:p>
            <w:r>
              <w:rPr>
                <w:rFonts w:ascii="Calibri" w:hAnsi="Calibri"/>
                <w:sz w:val="22"/>
              </w:rPr>
              <w:t>Gift / Transfer (G)</w:t>
            </w:r>
          </w:p>
        </w:tc>
        <w:tc>
          <w:tcPr>
            <w:tcW w:type="dxa" w:w="1440"/>
          </w:tcPr>
          <w:p>
            <w:r>
              <w:rPr>
                <w:rFonts w:ascii="Calibri" w:hAnsi="Calibri"/>
                <w:sz w:val="22"/>
              </w:rPr>
              <w:t>9,666</w:t>
            </w:r>
          </w:p>
        </w:tc>
        <w:tc>
          <w:tcPr>
            <w:tcW w:type="dxa" w:w="1440"/>
          </w:tcPr>
          <w:p>
            <w:r>
              <w:rPr>
                <w:rFonts w:ascii="Calibri" w:hAnsi="Calibri"/>
                <w:sz w:val="22"/>
              </w:rPr>
              <w:t>May 12, 2026</w:t>
            </w:r>
          </w:p>
        </w:tc>
        <w:tc>
          <w:tcPr>
            <w:tcW w:type="dxa" w:w="1440"/>
          </w:tcPr>
          <w:p>
            <w:r>
              <w:rPr>
                <w:rFonts w:ascii="Calibri" w:hAnsi="Calibri"/>
                <w:sz w:val="22"/>
              </w:rPr>
              <w:t>Transfer to spouse's trust; not an open-market sale; no economic change</w:t>
            </w:r>
          </w:p>
        </w:tc>
      </w:tr>
      <w:tr>
        <w:tc>
          <w:tcPr>
            <w:tcW w:type="dxa" w:w="1440"/>
          </w:tcPr>
          <w:p>
            <w:r>
              <w:rPr>
                <w:rFonts w:ascii="Calibri" w:hAnsi="Calibri"/>
                <w:sz w:val="22"/>
              </w:rPr>
              <w:t>Michael Pokorny</w:t>
            </w:r>
          </w:p>
        </w:tc>
        <w:tc>
          <w:tcPr>
            <w:tcW w:type="dxa" w:w="1440"/>
          </w:tcPr>
          <w:p>
            <w:r>
              <w:rPr>
                <w:rFonts w:ascii="Calibri" w:hAnsi="Calibri"/>
                <w:sz w:val="22"/>
              </w:rPr>
              <w:t>VP, Chief Accounting Officer</w:t>
            </w:r>
          </w:p>
        </w:tc>
        <w:tc>
          <w:tcPr>
            <w:tcW w:type="dxa" w:w="1440"/>
          </w:tcPr>
          <w:p>
            <w:r>
              <w:rPr>
                <w:rFonts w:ascii="Calibri" w:hAnsi="Calibri"/>
                <w:sz w:val="22"/>
              </w:rPr>
              <w:t>Open Market Sale</w:t>
            </w:r>
          </w:p>
        </w:tc>
        <w:tc>
          <w:tcPr>
            <w:tcW w:type="dxa" w:w="1440"/>
          </w:tcPr>
          <w:p>
            <w:r>
              <w:rPr>
                <w:rFonts w:ascii="Calibri" w:hAnsi="Calibri"/>
                <w:sz w:val="22"/>
              </w:rPr>
              <w:t>2,446</w:t>
            </w:r>
          </w:p>
        </w:tc>
        <w:tc>
          <w:tcPr>
            <w:tcW w:type="dxa" w:w="1440"/>
          </w:tcPr>
          <w:p>
            <w:r>
              <w:rPr>
                <w:rFonts w:ascii="Calibri" w:hAnsi="Calibri"/>
                <w:sz w:val="22"/>
              </w:rPr>
              <w:t>May 12, 2026</w:t>
            </w:r>
          </w:p>
        </w:tc>
        <w:tc>
          <w:tcPr>
            <w:tcW w:type="dxa" w:w="1440"/>
          </w:tcPr>
          <w:p>
            <w:r>
              <w:rPr>
                <w:rFonts w:ascii="Calibri" w:hAnsi="Calibri"/>
                <w:sz w:val="22"/>
              </w:rPr>
              <w:t>Discretionary open-market sale; not on 10b5-1 plan per filing</w:t>
            </w:r>
          </w:p>
        </w:tc>
      </w:tr>
      <w:tr>
        <w:tc>
          <w:tcPr>
            <w:tcW w:type="dxa" w:w="1440"/>
          </w:tcPr>
          <w:p>
            <w:r>
              <w:rPr>
                <w:rFonts w:ascii="Calibri" w:hAnsi="Calibri"/>
                <w:sz w:val="22"/>
              </w:rPr>
              <w:t>Michael Pokorny</w:t>
            </w:r>
          </w:p>
        </w:tc>
        <w:tc>
          <w:tcPr>
            <w:tcW w:type="dxa" w:w="1440"/>
          </w:tcPr>
          <w:p>
            <w:r>
              <w:rPr>
                <w:rFonts w:ascii="Calibri" w:hAnsi="Calibri"/>
                <w:sz w:val="22"/>
              </w:rPr>
              <w:t>VP, Chief Accounting Officer</w:t>
            </w:r>
          </w:p>
        </w:tc>
        <w:tc>
          <w:tcPr>
            <w:tcW w:type="dxa" w:w="1440"/>
          </w:tcPr>
          <w:p>
            <w:r>
              <w:rPr>
                <w:rFonts w:ascii="Calibri" w:hAnsi="Calibri"/>
                <w:sz w:val="22"/>
              </w:rPr>
              <w:t>Tax Withholding (F)</w:t>
            </w:r>
          </w:p>
        </w:tc>
        <w:tc>
          <w:tcPr>
            <w:tcW w:type="dxa" w:w="1440"/>
          </w:tcPr>
          <w:p>
            <w:r>
              <w:rPr>
                <w:rFonts w:ascii="Calibri" w:hAnsi="Calibri"/>
                <w:sz w:val="22"/>
              </w:rPr>
              <w:t>1,429</w:t>
            </w:r>
          </w:p>
        </w:tc>
        <w:tc>
          <w:tcPr>
            <w:tcW w:type="dxa" w:w="1440"/>
          </w:tcPr>
          <w:p>
            <w:r>
              <w:rPr>
                <w:rFonts w:ascii="Calibri" w:hAnsi="Calibri"/>
                <w:sz w:val="22"/>
              </w:rPr>
              <w:t>May 9, 2026</w:t>
            </w:r>
          </w:p>
        </w:tc>
        <w:tc>
          <w:tcPr>
            <w:tcW w:type="dxa" w:w="1440"/>
          </w:tcPr>
          <w:p>
            <w:r>
              <w:rPr>
                <w:rFonts w:ascii="Calibri" w:hAnsi="Calibri"/>
                <w:sz w:val="22"/>
              </w:rPr>
              <w:t>Shares withheld for tax on vesting; obligation-driven</w:t>
            </w:r>
          </w:p>
        </w:tc>
      </w:tr>
      <w:tr>
        <w:tc>
          <w:tcPr>
            <w:tcW w:type="dxa" w:w="1440"/>
          </w:tcPr>
          <w:p>
            <w:r>
              <w:rPr>
                <w:rFonts w:ascii="Calibri" w:hAnsi="Calibri"/>
                <w:sz w:val="22"/>
              </w:rPr>
              <w:t>Necip Sayiner</w:t>
            </w:r>
          </w:p>
        </w:tc>
        <w:tc>
          <w:tcPr>
            <w:tcW w:type="dxa" w:w="1440"/>
          </w:tcPr>
          <w:p>
            <w:r>
              <w:rPr>
                <w:rFonts w:ascii="Calibri" w:hAnsi="Calibri"/>
                <w:sz w:val="22"/>
              </w:rPr>
              <w:t>Director</w:t>
            </w:r>
          </w:p>
        </w:tc>
        <w:tc>
          <w:tcPr>
            <w:tcW w:type="dxa" w:w="1440"/>
          </w:tcPr>
          <w:p>
            <w:r>
              <w:rPr>
                <w:rFonts w:ascii="Calibri" w:hAnsi="Calibri"/>
                <w:sz w:val="22"/>
              </w:rPr>
              <w:t>Open Market Sale</w:t>
            </w:r>
          </w:p>
        </w:tc>
        <w:tc>
          <w:tcPr>
            <w:tcW w:type="dxa" w:w="1440"/>
          </w:tcPr>
          <w:p>
            <w:r>
              <w:rPr>
                <w:rFonts w:ascii="Calibri" w:hAnsi="Calibri"/>
                <w:sz w:val="22"/>
              </w:rPr>
              <w:t>579</w:t>
            </w:r>
          </w:p>
        </w:tc>
        <w:tc>
          <w:tcPr>
            <w:tcW w:type="dxa" w:w="1440"/>
          </w:tcPr>
          <w:p>
            <w:r>
              <w:rPr>
                <w:rFonts w:ascii="Calibri" w:hAnsi="Calibri"/>
                <w:sz w:val="22"/>
              </w:rPr>
              <w:t>May 8, 2026</w:t>
            </w:r>
          </w:p>
        </w:tc>
        <w:tc>
          <w:tcPr>
            <w:tcW w:type="dxa" w:w="1440"/>
          </w:tcPr>
          <w:p>
            <w:r>
              <w:rPr>
                <w:rFonts w:ascii="Calibri" w:hAnsi="Calibri"/>
                <w:sz w:val="22"/>
              </w:rPr>
              <w:t>Discretionary open-market sale by director; not on 10b5-1 plan per filing</w:t>
            </w:r>
          </w:p>
        </w:tc>
      </w:tr>
    </w:tbl>
    <w:p>
      <w:r>
        <w:rPr>
          <w:rFonts w:ascii="Calibri" w:hAnsi="Calibri"/>
          <w:b/>
          <w:color w:val="525866"/>
          <w:sz w:val="22"/>
        </w:rPr>
        <w:t xml:space="preserve">Analysis: </w:t>
      </w:r>
      <w:r>
        <w:rPr>
          <w:rFonts w:ascii="Calibri" w:hAnsi="Calibri"/>
          <w:color w:val="525866"/>
          <w:sz w:val="22"/>
        </w:rPr>
        <w:t>The overwhelming majority of insider activity is obligation-driven (tax withholding on vesting events, Form 4 code 'F') or pre-scheduled 10b5-1 plans — neither category carries directional signal. Three discretionary open-market sales stand out: CTO Alper Ilkbahar sold 2,000 shares on June 1 (near the stock's all-time high), Chief Accounting Officer Michael Pokorny sold 2,446 shares on May 12, and Director Necip Sayiner sold 579 shares on May 8. These are relatively small in dollar terms and occurred when the stock was trading at elevated levels post-earnings. Notably, CEO David Goeckeler has made no open-market sales and retains over 509,000 shares — a meaningful alignment signal. The absence of any open-market purchases by insiders during the July drawdown (when the stock fell ~39% from its peak) is the most notable observation, though this may reflect blackout period restrictions ahead of the August 5 earnings date. Source: Insider Transaction Data (SEC Form 4 filings).</w:t>
      </w:r>
    </w:p>
    <w:p>
      <w:r>
        <w:rPr>
          <w:rFonts w:ascii="Calibri" w:hAnsi="Calibri"/>
          <w:b/>
          <w:color w:val="525866"/>
          <w:sz w:val="22"/>
        </w:rPr>
        <w:t xml:space="preserve">Data Sources: </w:t>
      </w:r>
      <w:r>
        <w:rPr>
          <w:rFonts w:ascii="Calibri" w:hAnsi="Calibri"/>
          <w:color w:val="525866"/>
          <w:sz w:val="22"/>
        </w:rPr>
        <w:t>Visible Alpha consensus and actuals data (KPI tables, beat/miss history, revision tracker); Stock Price Data via Yahoo Finance (stock performance chart); Insider Transaction Data via SEC Form 4 filings; SNDK Q3 FY2026 Earnings Call transcript (April 30, 2026) and Earnings Release; Peer transcripts: MU Q3 FY2026 Earnings Call and Post-Earnings Analyst Call (June 24, 2026), STX BofA Global Technology Conference (June 2, 2026) and Q4 FY2026 Earnings Call (July 28, 2026), WDC BofA Global Technology Conference (June 2, 2026) and Evercore TMT Conference (June 3, 2026), NTAP BofA Global Technology Conference (June 2, 2026) and Evercore TMT Conference (June 3, 2026), PSTG William Blair Growth Stock Conference (June 3, 2026); SNDK press releases (July 9, 2026 Investor Day announcement; May 14, 2026 mini-tender advisory; April 30, 2026 buyback authorization).</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