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SanDisk Corporation (SNDK)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SanDisk Corporation</w:t>
            </w:r>
          </w:p>
        </w:tc>
      </w:tr>
      <w:tr>
        <w:tc>
          <w:tcPr>
            <w:tcW w:type="dxa" w:w="4320"/>
          </w:tcPr>
          <w:p>
            <w:r>
              <w:rPr>
                <w:rFonts w:ascii="Calibri" w:hAnsi="Calibri"/>
                <w:b/>
                <w:sz w:val="22"/>
              </w:rPr>
              <w:t>Ticker</w:t>
            </w:r>
          </w:p>
        </w:tc>
        <w:tc>
          <w:tcPr>
            <w:tcW w:type="dxa" w:w="4320"/>
          </w:tcPr>
          <w:p>
            <w:r>
              <w:rPr>
                <w:rFonts w:ascii="Calibri" w:hAnsi="Calibri"/>
                <w:sz w:val="22"/>
              </w:rPr>
              <w:t>SNDK</w:t>
            </w:r>
          </w:p>
        </w:tc>
      </w:tr>
      <w:tr>
        <w:tc>
          <w:tcPr>
            <w:tcW w:type="dxa" w:w="4320"/>
          </w:tcPr>
          <w:p>
            <w:r>
              <w:rPr>
                <w:rFonts w:ascii="Calibri" w:hAnsi="Calibri"/>
                <w:b/>
                <w:sz w:val="22"/>
              </w:rPr>
              <w:t>Upcoming Earnings Date</w:t>
            </w:r>
          </w:p>
        </w:tc>
        <w:tc>
          <w:tcPr>
            <w:tcW w:type="dxa" w:w="4320"/>
          </w:tcPr>
          <w:p>
            <w:r>
              <w:rPr>
                <w:rFonts w:ascii="Calibri" w:hAnsi="Calibri"/>
                <w:sz w:val="22"/>
              </w:rPr>
              <w:t>August 5,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Fiscal Q4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Investor Day</w:t>
            </w:r>
          </w:p>
        </w:tc>
        <w:tc>
          <w:tcPr>
            <w:tcW w:type="dxa" w:w="4320"/>
          </w:tcPr>
          <w:p>
            <w:r>
              <w:rPr>
                <w:rFonts w:ascii="Calibri" w:hAnsi="Calibri"/>
                <w:sz w:val="22"/>
              </w:rPr>
              <w:t>August 13,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skewed to beat — consensus is a manageable bar relative to guidance, the NAND pricing environment remains structurally tight, and the first revenue contribution from QLC Stargate is a new incremental catalyst — but the stock's massive YTD run and its failure to rally on Q3's blowout print mean the market needs a forward guide that exceeds even elevated buy-side expectations to sustain momentum.</w:t>
      </w:r>
    </w:p>
    <w:p>
      <w:r>
        <w:rPr>
          <w:rFonts w:ascii="Calibri" w:hAnsi="Calibri"/>
          <w:color w:val="525866"/>
          <w:sz w:val="22"/>
        </w:rPr>
        <w:t xml:space="preserve">Heading into SNDK's fiscal Q4 2026 print on August 5, the bar is high in absolute terms but arguably achievable: management guided revenue of $7.75–$8.25B and non-GAAP EPS of $30–$33, and consensus currently sits at ~$8.71B and ~$35.45 — </w:t>
      </w:r>
      <w:r>
        <w:rPr>
          <w:rFonts w:ascii="Calibri" w:hAnsi="Calibri"/>
          <w:b/>
          <w:color w:val="525866"/>
          <w:sz w:val="22"/>
        </w:rPr>
        <w:t>above the guidance midpoint</w:t>
      </w:r>
      <w:r>
        <w:rPr>
          <w:rFonts w:ascii="Calibri" w:hAnsi="Calibri"/>
          <w:color w:val="525866"/>
          <w:sz w:val="22"/>
        </w:rPr>
        <w:t>, reflecting the market's expectation that SNDK will once again beat its own guidance as it has done dramatically in each of the prior three quarters. Management's tone since the April 30 Q3 earnings call has been consistently bullish: at the JP Morgan TMC (May 20), Bernstein (May 28), and Mizuho (June 9) conferences, the CFO and CEO reiterated that NAND market undersupply extends through end of calendar 2027 with the same conviction they had for 2026, that NBM agreement financials are "consistent with Q4 guidance," and that QLC Stargate revenue recognition begins this quarter — adding a second enterprise SSD growth pillar alongside TLC. Estimate revisions have moved sharply higher since the Q3 print: the post-earnings EPS baseline of ~$32.94 has risen to ~$35.45 today, a ~7.6% upward revision, tracking management's constructive tone. The stock, however, has given back significant ground — down ~54% in July from its June 22 peak of $2,273.73 to a July 29 trough of $1,015.89 — before recovering to ~$1,288 as of August 3, suggesting the market is repricing risk around whether the extraordinary margin trajectory is sustainable or whether the stock had simply run too far too fast. The single biggest wildcard is whether management raises its FY2027 data center growth forecast for a fifth consecutive quarter (from mid-70s% currently) and whether NBM coverage expands meaningfully above the "over one-third of FY2027 bits" disclosed at Q3 — either development would be a powerful re-rating catalyst.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above the guidance midpoint on both revenue (~$8.71B vs. $8.0B mid) and EPS (~$35.45 vs. $31.50 mid), reflecting the market's expectation of another guidance beat; the bigger swing factor is gross margin, where the 79–81% guidance range implies further expansion from Q3's ~78% and any upside there would be the most powerful earnings-day catalyst.</w:t>
      </w:r>
    </w:p>
    <w:p>
      <w:pPr>
        <w:pStyle w:val="Heading3"/>
      </w:pPr>
      <w:r>
        <w:rPr>
          <w:rFonts w:ascii="Calibri" w:hAnsi="Calibri"/>
          <w:b/>
          <w:color w:val="3B4259"/>
          <w:sz w:val="24"/>
        </w:rPr>
        <w:t>Table 1 — Current Quarter Snapshot (Q4 FY2026,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(Mar 2026)</w:t>
            </w:r>
          </w:p>
        </w:tc>
        <w:tc>
          <w:tcPr>
            <w:tcW w:type="dxa" w:w="1234"/>
            <w:shd w:val="clear" w:color="auto" w:fill="3B4259"/>
          </w:tcPr>
          <w:p>
            <w:r>
              <w:rPr>
                <w:rFonts w:ascii="Calibri" w:hAnsi="Calibri"/>
                <w:b/>
                <w:color w:val="FFFFFF"/>
                <w:sz w:val="22"/>
              </w:rPr>
              <w:t>Q4 FY2025 Actual (Jun 2025)</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Q4 FY2026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Revenue ($B)</w:t>
            </w:r>
          </w:p>
        </w:tc>
        <w:tc>
          <w:tcPr>
            <w:tcW w:type="dxa" w:w="1234"/>
          </w:tcPr>
          <w:p>
            <w:r>
              <w:rPr>
                <w:rFonts w:ascii="Calibri" w:hAnsi="Calibri"/>
                <w:sz w:val="22"/>
              </w:rPr>
              <w:t>$5.95B</w:t>
            </w:r>
          </w:p>
        </w:tc>
        <w:tc>
          <w:tcPr>
            <w:tcW w:type="dxa" w:w="1234"/>
          </w:tcPr>
          <w:p>
            <w:r>
              <w:rPr>
                <w:rFonts w:ascii="Calibri" w:hAnsi="Calibri"/>
                <w:sz w:val="22"/>
              </w:rPr>
              <w:t>$1.90B</w:t>
            </w:r>
          </w:p>
        </w:tc>
        <w:tc>
          <w:tcPr>
            <w:tcW w:type="dxa" w:w="1234"/>
          </w:tcPr>
          <w:p>
            <w:r>
              <w:rPr>
                <w:rFonts w:ascii="Calibri" w:hAnsi="Calibri"/>
                <w:sz w:val="22"/>
              </w:rPr>
              <w:t>$8.71B</w:t>
            </w:r>
          </w:p>
        </w:tc>
        <w:tc>
          <w:tcPr>
            <w:tcW w:type="dxa" w:w="1234"/>
          </w:tcPr>
          <w:p>
            <w:r>
              <w:rPr>
                <w:rFonts w:ascii="Calibri" w:hAnsi="Calibri"/>
                <w:sz w:val="22"/>
              </w:rPr>
              <w:t>+358% YoY</w:t>
            </w:r>
          </w:p>
        </w:tc>
        <w:tc>
          <w:tcPr>
            <w:tcW w:type="dxa" w:w="1234"/>
          </w:tcPr>
          <w:p>
            <w:r>
              <w:rPr>
                <w:rFonts w:ascii="Calibri" w:hAnsi="Calibri"/>
                <w:sz w:val="22"/>
              </w:rPr>
              <w:t>$8.00B</w:t>
            </w:r>
          </w:p>
        </w:tc>
        <w:tc>
          <w:tcPr>
            <w:tcW w:type="dxa" w:w="1234"/>
          </w:tcPr>
          <w:p>
            <w:r>
              <w:rPr>
                <w:rFonts w:ascii="Calibri" w:hAnsi="Calibri"/>
                <w:sz w:val="22"/>
              </w:rPr>
              <w:t>+8.9% above mid</w:t>
            </w:r>
          </w:p>
        </w:tc>
      </w:tr>
      <w:tr>
        <w:tc>
          <w:tcPr>
            <w:tcW w:type="dxa" w:w="1234"/>
          </w:tcPr>
          <w:p>
            <w:r>
              <w:rPr>
                <w:rFonts w:ascii="Calibri" w:hAnsi="Calibri"/>
                <w:sz w:val="22"/>
              </w:rPr>
              <w:t>Non-GAAP EPS (Diluted)</w:t>
            </w:r>
          </w:p>
        </w:tc>
        <w:tc>
          <w:tcPr>
            <w:tcW w:type="dxa" w:w="1234"/>
          </w:tcPr>
          <w:p>
            <w:r>
              <w:rPr>
                <w:rFonts w:ascii="Calibri" w:hAnsi="Calibri"/>
                <w:sz w:val="22"/>
              </w:rPr>
              <w:t>$23.41</w:t>
            </w:r>
          </w:p>
        </w:tc>
        <w:tc>
          <w:tcPr>
            <w:tcW w:type="dxa" w:w="1234"/>
          </w:tcPr>
          <w:p>
            <w:r>
              <w:rPr>
                <w:rFonts w:ascii="Calibri" w:hAnsi="Calibri"/>
                <w:sz w:val="22"/>
              </w:rPr>
              <w:t>$0.29</w:t>
            </w:r>
          </w:p>
        </w:tc>
        <w:tc>
          <w:tcPr>
            <w:tcW w:type="dxa" w:w="1234"/>
          </w:tcPr>
          <w:p>
            <w:r>
              <w:rPr>
                <w:rFonts w:ascii="Calibri" w:hAnsi="Calibri"/>
                <w:sz w:val="22"/>
              </w:rPr>
              <w:t>$35.45</w:t>
            </w:r>
          </w:p>
        </w:tc>
        <w:tc>
          <w:tcPr>
            <w:tcW w:type="dxa" w:w="1234"/>
          </w:tcPr>
          <w:p>
            <w:r>
              <w:rPr>
                <w:rFonts w:ascii="Calibri" w:hAnsi="Calibri"/>
                <w:sz w:val="22"/>
              </w:rPr>
              <w:t>N/M (prior year near breakeven)</w:t>
            </w:r>
          </w:p>
        </w:tc>
        <w:tc>
          <w:tcPr>
            <w:tcW w:type="dxa" w:w="1234"/>
          </w:tcPr>
          <w:p>
            <w:r>
              <w:rPr>
                <w:rFonts w:ascii="Calibri" w:hAnsi="Calibri"/>
                <w:sz w:val="22"/>
              </w:rPr>
              <w:t>$31.50</w:t>
            </w:r>
          </w:p>
        </w:tc>
        <w:tc>
          <w:tcPr>
            <w:tcW w:type="dxa" w:w="1234"/>
          </w:tcPr>
          <w:p>
            <w:r>
              <w:rPr>
                <w:rFonts w:ascii="Calibri" w:hAnsi="Calibri"/>
                <w:sz w:val="22"/>
              </w:rPr>
              <w:t>+12.5% above mid</w:t>
            </w:r>
          </w:p>
        </w:tc>
      </w:tr>
      <w:tr>
        <w:tc>
          <w:tcPr>
            <w:tcW w:type="dxa" w:w="1234"/>
          </w:tcPr>
          <w:p>
            <w:r>
              <w:rPr>
                <w:rFonts w:ascii="Calibri" w:hAnsi="Calibri"/>
                <w:sz w:val="22"/>
              </w:rPr>
              <w:t>Non-GAAP Gross Profit ($B)</w:t>
            </w:r>
          </w:p>
        </w:tc>
        <w:tc>
          <w:tcPr>
            <w:tcW w:type="dxa" w:w="1234"/>
          </w:tcPr>
          <w:p>
            <w:r>
              <w:rPr>
                <w:rFonts w:ascii="Calibri" w:hAnsi="Calibri"/>
                <w:sz w:val="22"/>
              </w:rPr>
              <w:t>$4.67B (~78.4% margin)</w:t>
            </w:r>
          </w:p>
        </w:tc>
        <w:tc>
          <w:tcPr>
            <w:tcW w:type="dxa" w:w="1234"/>
          </w:tcPr>
          <w:p>
            <w:r>
              <w:rPr>
                <w:rFonts w:ascii="Calibri" w:hAnsi="Calibri"/>
                <w:sz w:val="22"/>
              </w:rPr>
              <w:t>$0.50B (~26.3% margin)</w:t>
            </w:r>
          </w:p>
        </w:tc>
        <w:tc>
          <w:tcPr>
            <w:tcW w:type="dxa" w:w="1234"/>
          </w:tcPr>
          <w:p>
            <w:r>
              <w:rPr>
                <w:rFonts w:ascii="Calibri" w:hAnsi="Calibri"/>
                <w:sz w:val="22"/>
              </w:rPr>
              <w:t>$6.99B (~80.2% implied)</w:t>
            </w:r>
          </w:p>
        </w:tc>
        <w:tc>
          <w:tcPr>
            <w:tcW w:type="dxa" w:w="1234"/>
          </w:tcPr>
          <w:p>
            <w:r>
              <w:rPr>
                <w:rFonts w:ascii="Calibri" w:hAnsi="Calibri"/>
                <w:sz w:val="22"/>
              </w:rPr>
              <w:t>+1,298% YoY</w:t>
            </w:r>
          </w:p>
        </w:tc>
        <w:tc>
          <w:tcPr>
            <w:tcW w:type="dxa" w:w="1234"/>
          </w:tcPr>
          <w:p>
            <w:r>
              <w:rPr>
                <w:rFonts w:ascii="Calibri" w:hAnsi="Calibri"/>
                <w:sz w:val="22"/>
              </w:rPr>
              <w:t>79–81% margin range</w:t>
            </w:r>
          </w:p>
        </w:tc>
        <w:tc>
          <w:tcPr>
            <w:tcW w:type="dxa" w:w="1234"/>
          </w:tcPr>
          <w:p>
            <w:r>
              <w:rPr>
                <w:rFonts w:ascii="Calibri" w:hAnsi="Calibri"/>
                <w:sz w:val="22"/>
              </w:rPr>
              <w:t>~+0.2pp above mid</w:t>
            </w:r>
          </w:p>
        </w:tc>
      </w:tr>
      <w:tr>
        <w:tc>
          <w:tcPr>
            <w:tcW w:type="dxa" w:w="1234"/>
          </w:tcPr>
          <w:p>
            <w:r>
              <w:rPr>
                <w:rFonts w:ascii="Calibri" w:hAnsi="Calibri"/>
                <w:sz w:val="22"/>
              </w:rPr>
              <w:t>Revenue — Cloud / Data Center ($B)</w:t>
            </w:r>
          </w:p>
        </w:tc>
        <w:tc>
          <w:tcPr>
            <w:tcW w:type="dxa" w:w="1234"/>
          </w:tcPr>
          <w:p>
            <w:r>
              <w:rPr>
                <w:rFonts w:ascii="Calibri" w:hAnsi="Calibri"/>
                <w:sz w:val="22"/>
              </w:rPr>
              <w:t>$1.47B</w:t>
            </w:r>
          </w:p>
        </w:tc>
        <w:tc>
          <w:tcPr>
            <w:tcW w:type="dxa" w:w="1234"/>
          </w:tcPr>
          <w:p>
            <w:r>
              <w:rPr>
                <w:rFonts w:ascii="Calibri" w:hAnsi="Calibri"/>
                <w:sz w:val="22"/>
              </w:rPr>
              <w:t>$0.21B</w:t>
            </w:r>
          </w:p>
        </w:tc>
        <w:tc>
          <w:tcPr>
            <w:tcW w:type="dxa" w:w="1234"/>
          </w:tcPr>
          <w:p>
            <w:r>
              <w:rPr>
                <w:rFonts w:ascii="Calibri" w:hAnsi="Calibri"/>
                <w:sz w:val="22"/>
              </w:rPr>
              <w:t>$2.66B</w:t>
            </w:r>
          </w:p>
        </w:tc>
        <w:tc>
          <w:tcPr>
            <w:tcW w:type="dxa" w:w="1234"/>
          </w:tcPr>
          <w:p>
            <w:r>
              <w:rPr>
                <w:rFonts w:ascii="Calibri" w:hAnsi="Calibri"/>
                <w:sz w:val="22"/>
              </w:rPr>
              <w:t>+1,167% YoY</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Bits ASP Seq. Change (%)</w:t>
            </w:r>
          </w:p>
        </w:tc>
        <w:tc>
          <w:tcPr>
            <w:tcW w:type="dxa" w:w="1234"/>
          </w:tcPr>
          <w:p>
            <w:r>
              <w:rPr>
                <w:rFonts w:ascii="Calibri" w:hAnsi="Calibri"/>
                <w:sz w:val="22"/>
              </w:rPr>
              <w:t>+135.7% QoQ</w:t>
            </w:r>
          </w:p>
        </w:tc>
        <w:tc>
          <w:tcPr>
            <w:tcW w:type="dxa" w:w="1234"/>
          </w:tcPr>
          <w:p>
            <w:r>
              <w:rPr>
                <w:rFonts w:ascii="Calibri" w:hAnsi="Calibri"/>
                <w:sz w:val="22"/>
              </w:rPr>
              <w:t>+5.6% QoQ</w:t>
            </w:r>
          </w:p>
        </w:tc>
        <w:tc>
          <w:tcPr>
            <w:tcW w:type="dxa" w:w="1234"/>
          </w:tcPr>
          <w:p>
            <w:r>
              <w:rPr>
                <w:rFonts w:ascii="Calibri" w:hAnsi="Calibri"/>
                <w:sz w:val="22"/>
              </w:rPr>
              <w:t>+30.3% QoQ (consensus)</w:t>
            </w:r>
          </w:p>
        </w:tc>
        <w:tc>
          <w:tcPr>
            <w:tcW w:type="dxa" w:w="1234"/>
          </w:tcPr>
          <w:p>
            <w:r>
              <w:rPr>
                <w:rFonts w:ascii="Calibri" w:hAnsi="Calibri"/>
                <w:sz w:val="22"/>
              </w:rPr>
              <w:t>N/M</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Bits Shipment Seq. Change (%)</w:t>
            </w:r>
          </w:p>
        </w:tc>
        <w:tc>
          <w:tcPr>
            <w:tcW w:type="dxa" w:w="1234"/>
          </w:tcPr>
          <w:p>
            <w:r>
              <w:rPr>
                <w:rFonts w:ascii="Calibri" w:hAnsi="Calibri"/>
                <w:sz w:val="22"/>
              </w:rPr>
              <w:t>-16.0% QoQ</w:t>
            </w:r>
          </w:p>
        </w:tc>
        <w:tc>
          <w:tcPr>
            <w:tcW w:type="dxa" w:w="1234"/>
          </w:tcPr>
          <w:p>
            <w:r>
              <w:rPr>
                <w:rFonts w:ascii="Calibri" w:hAnsi="Calibri"/>
                <w:sz w:val="22"/>
              </w:rPr>
              <w:t>+15.0% QoQ</w:t>
            </w:r>
          </w:p>
        </w:tc>
        <w:tc>
          <w:tcPr>
            <w:tcW w:type="dxa" w:w="1234"/>
          </w:tcPr>
          <w:p>
            <w:r>
              <w:rPr>
                <w:rFonts w:ascii="Calibri" w:hAnsi="Calibri"/>
                <w:sz w:val="22"/>
              </w:rPr>
              <w:t>+15.1% QoQ (consensus)</w:t>
            </w:r>
          </w:p>
        </w:tc>
        <w:tc>
          <w:tcPr>
            <w:tcW w:type="dxa" w:w="1234"/>
          </w:tcPr>
          <w:p>
            <w:r>
              <w:rPr>
                <w:rFonts w:ascii="Calibri" w:hAnsi="Calibri"/>
                <w:sz w:val="22"/>
              </w:rPr>
              <w:t>N/M</w:t>
            </w:r>
          </w:p>
        </w:tc>
        <w:tc>
          <w:tcPr>
            <w:tcW w:type="dxa" w:w="1234"/>
          </w:tcPr>
          <w:p>
            <w:r>
              <w:rPr>
                <w:rFonts w:ascii="Calibri" w:hAnsi="Calibri"/>
                <w:sz w:val="22"/>
              </w:rPr>
              <w:t>Not separately guided</w:t>
            </w:r>
          </w:p>
        </w:tc>
        <w:tc>
          <w:tcPr>
            <w:tcW w:type="dxa" w:w="1234"/>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SNDK has beaten revenue consensus in every quarter since its February 2025 spinoff, with the magnitude of beats accelerating dramatically — from low-single-digit percentage beats in FY2025 to 24.5% and 55.0% beats on revenue and EPS respectively in Q3 FY2026 — establishing a clear pattern of systematic guidance conservatism that the market now prices in. Source: Visible Alpha Consensus and Actuals Data (https://insights.visiblealpha.com/mex/SNDK_US/NMV/IS).</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Q3 print — Q4 FY2026 revenue consensus is up ~82% from the post-Q3 baseline and EPS is up ~7.6% — tracking management's constructive tone and the market's expectation of another beat; FY2027 estimates have also surged, with revenue consensus at ~$50.3B and EPS at ~$204.5, reflecting the market's belief in a structurally transformed, high-margin NAND business.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(as of May 7,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Q4 FY2026</w:t>
            </w:r>
          </w:p>
        </w:tc>
        <w:tc>
          <w:tcPr>
            <w:tcW w:type="dxa" w:w="1080"/>
          </w:tcPr>
          <w:p>
            <w:r>
              <w:rPr>
                <w:rFonts w:ascii="Calibri" w:hAnsi="Calibri"/>
                <w:sz w:val="22"/>
              </w:rPr>
              <w:t>$4,781M</w:t>
            </w:r>
          </w:p>
        </w:tc>
        <w:tc>
          <w:tcPr>
            <w:tcW w:type="dxa" w:w="1080"/>
          </w:tcPr>
          <w:p>
            <w:r>
              <w:rPr>
                <w:rFonts w:ascii="Calibri" w:hAnsi="Calibri"/>
                <w:sz w:val="22"/>
              </w:rPr>
              <w:t>$8,713M</w:t>
            </w:r>
          </w:p>
        </w:tc>
        <w:tc>
          <w:tcPr>
            <w:tcW w:type="dxa" w:w="1080"/>
          </w:tcPr>
          <w:p>
            <w:r>
              <w:rPr>
                <w:rFonts w:ascii="Calibri" w:hAnsi="Calibri"/>
                <w:b/>
                <w:color w:val="30A46C"/>
                <w:sz w:val="22"/>
              </w:rPr>
              <w:t>+82.2%</w:t>
            </w:r>
          </w:p>
        </w:tc>
        <w:tc>
          <w:tcPr>
            <w:tcW w:type="dxa" w:w="1080"/>
          </w:tcPr>
          <w:p>
            <w:r>
              <w:rPr>
                <w:rFonts w:ascii="Calibri" w:hAnsi="Calibri"/>
                <w:sz w:val="22"/>
              </w:rPr>
              <w:t>$7,750M – $8,250M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+8.9% above mid</w:t>
            </w:r>
          </w:p>
        </w:tc>
      </w:tr>
      <w:tr>
        <w:tc>
          <w:tcPr>
            <w:tcW w:type="dxa" w:w="1080"/>
          </w:tcPr>
          <w:p>
            <w:r>
              <w:rPr>
                <w:rFonts w:ascii="Calibri" w:hAnsi="Calibri"/>
                <w:sz w:val="22"/>
              </w:rPr>
              <w:t>Non-GAAP EPS — Q4 FY2026</w:t>
            </w:r>
          </w:p>
        </w:tc>
        <w:tc>
          <w:tcPr>
            <w:tcW w:type="dxa" w:w="1080"/>
          </w:tcPr>
          <w:p>
            <w:r>
              <w:rPr>
                <w:rFonts w:ascii="Calibri" w:hAnsi="Calibri"/>
                <w:sz w:val="22"/>
              </w:rPr>
              <w:t>$32.94</w:t>
            </w:r>
          </w:p>
        </w:tc>
        <w:tc>
          <w:tcPr>
            <w:tcW w:type="dxa" w:w="1080"/>
          </w:tcPr>
          <w:p>
            <w:r>
              <w:rPr>
                <w:rFonts w:ascii="Calibri" w:hAnsi="Calibri"/>
                <w:sz w:val="22"/>
              </w:rPr>
              <w:t>$35.45</w:t>
            </w:r>
          </w:p>
        </w:tc>
        <w:tc>
          <w:tcPr>
            <w:tcW w:type="dxa" w:w="1080"/>
          </w:tcPr>
          <w:p>
            <w:r>
              <w:rPr>
                <w:rFonts w:ascii="Calibri" w:hAnsi="Calibri"/>
                <w:b/>
                <w:color w:val="30A46C"/>
                <w:sz w:val="22"/>
              </w:rPr>
              <w:t>+7.6%</w:t>
            </w:r>
          </w:p>
        </w:tc>
        <w:tc>
          <w:tcPr>
            <w:tcW w:type="dxa" w:w="1080"/>
          </w:tcPr>
          <w:p>
            <w:r>
              <w:rPr>
                <w:rFonts w:ascii="Calibri" w:hAnsi="Calibri"/>
                <w:sz w:val="22"/>
              </w:rPr>
              <w:t>$30.00 – $33.00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+12.5% above mid</w:t>
            </w:r>
          </w:p>
        </w:tc>
      </w:tr>
      <w:tr>
        <w:tc>
          <w:tcPr>
            <w:tcW w:type="dxa" w:w="1080"/>
          </w:tcPr>
          <w:p>
            <w:r>
              <w:rPr>
                <w:rFonts w:ascii="Calibri" w:hAnsi="Calibri"/>
                <w:sz w:val="22"/>
              </w:rPr>
              <w:t>Non-GAAP Gross Profit — Q4 FY2026</w:t>
            </w:r>
          </w:p>
        </w:tc>
        <w:tc>
          <w:tcPr>
            <w:tcW w:type="dxa" w:w="1080"/>
          </w:tcPr>
          <w:p>
            <w:r>
              <w:rPr>
                <w:rFonts w:ascii="Calibri" w:hAnsi="Calibri"/>
                <w:sz w:val="22"/>
              </w:rPr>
              <w:t>$3,243M</w:t>
            </w:r>
          </w:p>
        </w:tc>
        <w:tc>
          <w:tcPr>
            <w:tcW w:type="dxa" w:w="1080"/>
          </w:tcPr>
          <w:p>
            <w:r>
              <w:rPr>
                <w:rFonts w:ascii="Calibri" w:hAnsi="Calibri"/>
                <w:sz w:val="22"/>
              </w:rPr>
              <w:t>$6,990M</w:t>
            </w:r>
          </w:p>
        </w:tc>
        <w:tc>
          <w:tcPr>
            <w:tcW w:type="dxa" w:w="1080"/>
          </w:tcPr>
          <w:p>
            <w:r>
              <w:rPr>
                <w:rFonts w:ascii="Calibri" w:hAnsi="Calibri"/>
                <w:b/>
                <w:color w:val="30A46C"/>
                <w:sz w:val="22"/>
              </w:rPr>
              <w:t>+115.5%</w:t>
            </w:r>
          </w:p>
        </w:tc>
        <w:tc>
          <w:tcPr>
            <w:tcW w:type="dxa" w:w="1080"/>
          </w:tcPr>
          <w:p>
            <w:r>
              <w:rPr>
                <w:rFonts w:ascii="Calibri" w:hAnsi="Calibri"/>
                <w:sz w:val="22"/>
              </w:rPr>
              <w:t>79–81% margin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~+0.2pp above mid</w:t>
            </w:r>
          </w:p>
        </w:tc>
      </w:tr>
      <w:tr>
        <w:tc>
          <w:tcPr>
            <w:tcW w:type="dxa" w:w="1080"/>
          </w:tcPr>
          <w:p>
            <w:r>
              <w:rPr>
                <w:rFonts w:ascii="Calibri" w:hAnsi="Calibri"/>
                <w:sz w:val="22"/>
              </w:rPr>
              <w:t>Revenue — FY2026 (Full Year)</w:t>
            </w:r>
          </w:p>
        </w:tc>
        <w:tc>
          <w:tcPr>
            <w:tcW w:type="dxa" w:w="1080"/>
          </w:tcPr>
          <w:p>
            <w:r>
              <w:rPr>
                <w:rFonts w:ascii="Calibri" w:hAnsi="Calibri"/>
                <w:sz w:val="22"/>
              </w:rPr>
              <w:t>$19,423M</w:t>
            </w:r>
          </w:p>
        </w:tc>
        <w:tc>
          <w:tcPr>
            <w:tcW w:type="dxa" w:w="1080"/>
          </w:tcPr>
          <w:p>
            <w:r>
              <w:rPr>
                <w:rFonts w:ascii="Calibri" w:hAnsi="Calibri"/>
                <w:sz w:val="22"/>
              </w:rPr>
              <w:t>$19,996M</w:t>
            </w:r>
          </w:p>
        </w:tc>
        <w:tc>
          <w:tcPr>
            <w:tcW w:type="dxa" w:w="1080"/>
          </w:tcPr>
          <w:p>
            <w:r>
              <w:rPr>
                <w:rFonts w:ascii="Calibri" w:hAnsi="Calibri"/>
                <w:b/>
                <w:color w:val="30A46C"/>
                <w:sz w:val="22"/>
              </w:rPr>
              <w:t>+2.9%</w:t>
            </w:r>
          </w:p>
        </w:tc>
        <w:tc>
          <w:tcPr>
            <w:tcW w:type="dxa" w:w="1080"/>
          </w:tcPr>
          <w:p>
            <w:r>
              <w:rPr>
                <w:rFonts w:ascii="Calibri" w:hAnsi="Calibri"/>
                <w:sz w:val="22"/>
              </w:rPr>
              <w:t>~$20B (CEO at Mizuho, Jun 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CEO comment</w:t>
            </w:r>
          </w:p>
        </w:tc>
      </w:tr>
      <w:tr>
        <w:tc>
          <w:tcPr>
            <w:tcW w:type="dxa" w:w="1080"/>
          </w:tcPr>
          <w:p>
            <w:r>
              <w:rPr>
                <w:rFonts w:ascii="Calibri" w:hAnsi="Calibri"/>
                <w:sz w:val="22"/>
              </w:rPr>
              <w:t>Non-GAAP EPS — FY2026 (Full Year)</w:t>
            </w:r>
          </w:p>
        </w:tc>
        <w:tc>
          <w:tcPr>
            <w:tcW w:type="dxa" w:w="1080"/>
          </w:tcPr>
          <w:p>
            <w:r>
              <w:rPr>
                <w:rFonts w:ascii="Calibri" w:hAnsi="Calibri"/>
                <w:sz w:val="22"/>
              </w:rPr>
              <w:t>$64.21</w:t>
            </w:r>
          </w:p>
        </w:tc>
        <w:tc>
          <w:tcPr>
            <w:tcW w:type="dxa" w:w="1080"/>
          </w:tcPr>
          <w:p>
            <w:r>
              <w:rPr>
                <w:rFonts w:ascii="Calibri" w:hAnsi="Calibri"/>
                <w:sz w:val="22"/>
              </w:rPr>
              <w:t>$66.89</w:t>
            </w:r>
          </w:p>
        </w:tc>
        <w:tc>
          <w:tcPr>
            <w:tcW w:type="dxa" w:w="1080"/>
          </w:tcPr>
          <w:p>
            <w:r>
              <w:rPr>
                <w:rFonts w:ascii="Calibri" w:hAnsi="Calibri"/>
                <w:b/>
                <w:color w:val="30A46C"/>
                <w:sz w:val="22"/>
              </w:rPr>
              <w:t>+4.2%</w:t>
            </w:r>
          </w:p>
        </w:tc>
        <w:tc>
          <w:tcPr>
            <w:tcW w:type="dxa" w:w="1080"/>
          </w:tcPr>
          <w:p>
            <w:r>
              <w:rPr>
                <w:rFonts w:ascii="Calibri" w:hAnsi="Calibri"/>
                <w:sz w:val="22"/>
              </w:rPr>
              <w:t>N/A (no FY guidance given)</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$41,877M</w:t>
            </w:r>
          </w:p>
        </w:tc>
        <w:tc>
          <w:tcPr>
            <w:tcW w:type="dxa" w:w="1080"/>
          </w:tcPr>
          <w:p>
            <w:r>
              <w:rPr>
                <w:rFonts w:ascii="Calibri" w:hAnsi="Calibri"/>
                <w:sz w:val="22"/>
              </w:rPr>
              <w:t>$50,311M</w:t>
            </w:r>
          </w:p>
        </w:tc>
        <w:tc>
          <w:tcPr>
            <w:tcW w:type="dxa" w:w="1080"/>
          </w:tcPr>
          <w:p>
            <w:r>
              <w:rPr>
                <w:rFonts w:ascii="Calibri" w:hAnsi="Calibri"/>
                <w:b/>
                <w:color w:val="30A46C"/>
                <w:sz w:val="22"/>
              </w:rPr>
              <w:t>+20.1%</w:t>
            </w:r>
          </w:p>
        </w:tc>
        <w:tc>
          <w:tcPr>
            <w:tcW w:type="dxa" w:w="1080"/>
          </w:tcPr>
          <w:p>
            <w:r>
              <w:rPr>
                <w:rFonts w:ascii="Calibri" w:hAnsi="Calibri"/>
                <w:sz w:val="22"/>
              </w:rPr>
              <w:t>~$45B (Street consensus cited by CEO at Mizuho, Jun 9)</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+11.8% above Jun 9 CEO reference</w:t>
            </w:r>
          </w:p>
        </w:tc>
      </w:tr>
      <w:tr>
        <w:tc>
          <w:tcPr>
            <w:tcW w:type="dxa" w:w="1080"/>
          </w:tcPr>
          <w:p>
            <w:r>
              <w:rPr>
                <w:rFonts w:ascii="Calibri" w:hAnsi="Calibri"/>
                <w:sz w:val="22"/>
              </w:rPr>
              <w:t>Non-GAAP EPS — FY2027</w:t>
            </w:r>
          </w:p>
        </w:tc>
        <w:tc>
          <w:tcPr>
            <w:tcW w:type="dxa" w:w="1080"/>
          </w:tcPr>
          <w:p>
            <w:r>
              <w:rPr>
                <w:rFonts w:ascii="Calibri" w:hAnsi="Calibri"/>
                <w:sz w:val="22"/>
              </w:rPr>
              <w:t>$168.47</w:t>
            </w:r>
          </w:p>
        </w:tc>
        <w:tc>
          <w:tcPr>
            <w:tcW w:type="dxa" w:w="1080"/>
          </w:tcPr>
          <w:p>
            <w:r>
              <w:rPr>
                <w:rFonts w:ascii="Calibri" w:hAnsi="Calibri"/>
                <w:sz w:val="22"/>
              </w:rPr>
              <w:t>$204.45</w:t>
            </w:r>
          </w:p>
        </w:tc>
        <w:tc>
          <w:tcPr>
            <w:tcW w:type="dxa" w:w="1080"/>
          </w:tcPr>
          <w:p>
            <w:r>
              <w:rPr>
                <w:rFonts w:ascii="Calibri" w:hAnsi="Calibri"/>
                <w:b/>
                <w:color w:val="30A46C"/>
                <w:sz w:val="22"/>
              </w:rPr>
              <w:t>+21.4%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Source: </w:t>
      </w:r>
      <w:r>
        <w:rPr>
          <w:rFonts w:ascii="Calibri" w:hAnsi="Calibri"/>
          <w:color w:val="525866"/>
          <w:sz w:val="22"/>
        </w:rPr>
        <w:t>All Visible Alpha consensus figures from Visible Alpha Consensus and Actuals Data (https://insights.visiblealpha.com/mex/SNDK_US/NMV/IS). Post-Q3 baseline (as of May 7, 2026) and current consensus (latest) both sourced from VA build_va_matrix with as_of_dates=["2026-05-07"]. Note: The Q4 FY2026 revenue estimate jump from $4.78B (May 7) to $8.71B (current) reflects the dramatic upward revision following the Q3 blowout print and management's Q4 guidance of $7.75–$8.25B — the May 7 figure was the pre-guidance-absorption baseline. FY2027 estimates have surged 20%+ since the Q3 print, driven by the market's growing conviction in structural NAND undersupply through end-2027 and the NBM framework's demand visibility.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SNDK's post-Q3 performance has been driven almost entirely by multiple compression — the stock surged to a peak of $2,273.73 on June 22 (up ~107% from the April 30 earnings close of $1,096.51) on estimate revisions and sentiment, then collapsed ~54% in July as the market repriced the sustainability of the margin trajectory, with the NTM P/E multiple contracting from ~8.6x at the 6-month horizon to ~5.7x today, suggesting the stock is now pricing in more normalized expectations heading into the print.</w:t>
      </w:r>
    </w:p>
    <w:p>
      <w:r>
        <w:rPr>
          <w:rFonts w:ascii="Calibri" w:hAnsi="Calibri"/>
          <w:color w:val="525866"/>
          <w:sz w:val="22"/>
        </w:rPr>
        <w:t>Chart: SNDK vs. SMH vs. S&amp;P 500 — Indexed to 100 at April 30, 2026 (Last Earnings Date) through August 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SNDK (Indexed)</w:t>
            </w:r>
          </w:p>
        </w:tc>
        <w:tc>
          <w:tcPr>
            <w:tcW w:type="dxa" w:w="2160"/>
            <w:shd w:val="clear" w:color="auto" w:fill="3B4259"/>
          </w:tcPr>
          <w:p>
            <w:r>
              <w:rPr>
                <w:rFonts w:ascii="Calibri" w:hAnsi="Calibri"/>
                <w:b/>
                <w:color w:val="FFFFFF"/>
                <w:sz w:val="22"/>
              </w:rPr>
              <w:t>SMH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 (1 Month)</w:t>
            </w:r>
          </w:p>
        </w:tc>
        <w:tc>
          <w:tcPr>
            <w:tcW w:type="dxa" w:w="2160"/>
          </w:tcPr>
          <w:p>
            <w:r>
              <w:rPr>
                <w:rFonts w:ascii="Calibri" w:hAnsi="Calibri"/>
                <w:sz w:val="22"/>
              </w:rPr>
              <w:t>154.6</w:t>
            </w:r>
          </w:p>
        </w:tc>
        <w:tc>
          <w:tcPr>
            <w:tcW w:type="dxa" w:w="2160"/>
          </w:tcPr>
          <w:p>
            <w:r>
              <w:rPr>
                <w:rFonts w:ascii="Calibri" w:hAnsi="Calibri"/>
                <w:sz w:val="22"/>
              </w:rPr>
              <w:t>118.3</w:t>
            </w:r>
          </w:p>
        </w:tc>
        <w:tc>
          <w:tcPr>
            <w:tcW w:type="dxa" w:w="2160"/>
          </w:tcPr>
          <w:p>
            <w:r>
              <w:rPr>
                <w:rFonts w:ascii="Calibri" w:hAnsi="Calibri"/>
                <w:sz w:val="22"/>
              </w:rPr>
              <w:t>105.3</w:t>
            </w:r>
          </w:p>
        </w:tc>
      </w:tr>
      <w:tr>
        <w:tc>
          <w:tcPr>
            <w:tcW w:type="dxa" w:w="2160"/>
          </w:tcPr>
          <w:p>
            <w:r>
              <w:rPr>
                <w:rFonts w:ascii="Calibri" w:hAnsi="Calibri"/>
                <w:sz w:val="22"/>
              </w:rPr>
              <w:t>Jun 22, 2026 (Peak)</w:t>
            </w:r>
          </w:p>
        </w:tc>
        <w:tc>
          <w:tcPr>
            <w:tcW w:type="dxa" w:w="2160"/>
          </w:tcPr>
          <w:p>
            <w:r>
              <w:rPr>
                <w:rFonts w:ascii="Calibri" w:hAnsi="Calibri"/>
                <w:sz w:val="22"/>
              </w:rPr>
              <w:t>207.4</w:t>
            </w:r>
          </w:p>
        </w:tc>
        <w:tc>
          <w:tcPr>
            <w:tcW w:type="dxa" w:w="2160"/>
          </w:tcPr>
          <w:p>
            <w:r>
              <w:rPr>
                <w:rFonts w:ascii="Calibri" w:hAnsi="Calibri"/>
                <w:sz w:val="22"/>
              </w:rPr>
              <w:t>132.0</w:t>
            </w:r>
          </w:p>
        </w:tc>
        <w:tc>
          <w:tcPr>
            <w:tcW w:type="dxa" w:w="2160"/>
          </w:tcPr>
          <w:p>
            <w:r>
              <w:rPr>
                <w:rFonts w:ascii="Calibri" w:hAnsi="Calibri"/>
                <w:sz w:val="22"/>
              </w:rPr>
              <w:t>103.6</w:t>
            </w:r>
          </w:p>
        </w:tc>
      </w:tr>
      <w:tr>
        <w:tc>
          <w:tcPr>
            <w:tcW w:type="dxa" w:w="2160"/>
          </w:tcPr>
          <w:p>
            <w:r>
              <w:rPr>
                <w:rFonts w:ascii="Calibri" w:hAnsi="Calibri"/>
                <w:sz w:val="22"/>
              </w:rPr>
              <w:t>Jul 29, 2026 (Trough)</w:t>
            </w:r>
          </w:p>
        </w:tc>
        <w:tc>
          <w:tcPr>
            <w:tcW w:type="dxa" w:w="2160"/>
          </w:tcPr>
          <w:p>
            <w:r>
              <w:rPr>
                <w:rFonts w:ascii="Calibri" w:hAnsi="Calibri"/>
                <w:sz w:val="22"/>
              </w:rPr>
              <w:t>92.6</w:t>
            </w:r>
          </w:p>
        </w:tc>
        <w:tc>
          <w:tcPr>
            <w:tcW w:type="dxa" w:w="2160"/>
          </w:tcPr>
          <w:p>
            <w:r>
              <w:rPr>
                <w:rFonts w:ascii="Calibri" w:hAnsi="Calibri"/>
                <w:sz w:val="22"/>
              </w:rPr>
              <w:t>99.5</w:t>
            </w:r>
          </w:p>
        </w:tc>
        <w:tc>
          <w:tcPr>
            <w:tcW w:type="dxa" w:w="2160"/>
          </w:tcPr>
          <w:p>
            <w:r>
              <w:rPr>
                <w:rFonts w:ascii="Calibri" w:hAnsi="Calibri"/>
                <w:sz w:val="22"/>
              </w:rPr>
              <w:t>101.5</w:t>
            </w:r>
          </w:p>
        </w:tc>
      </w:tr>
      <w:tr>
        <w:tc>
          <w:tcPr>
            <w:tcW w:type="dxa" w:w="2160"/>
          </w:tcPr>
          <w:p>
            <w:r>
              <w:rPr>
                <w:rFonts w:ascii="Calibri" w:hAnsi="Calibri"/>
                <w:sz w:val="22"/>
              </w:rPr>
              <w:t>Aug 3, 2026 (Latest)</w:t>
            </w:r>
          </w:p>
        </w:tc>
        <w:tc>
          <w:tcPr>
            <w:tcW w:type="dxa" w:w="2160"/>
          </w:tcPr>
          <w:p>
            <w:r>
              <w:rPr>
                <w:rFonts w:ascii="Calibri" w:hAnsi="Calibri"/>
                <w:sz w:val="22"/>
              </w:rPr>
              <w:t>117.5</w:t>
            </w:r>
          </w:p>
        </w:tc>
        <w:tc>
          <w:tcPr>
            <w:tcW w:type="dxa" w:w="2160"/>
          </w:tcPr>
          <w:p>
            <w:r>
              <w:rPr>
                <w:rFonts w:ascii="Calibri" w:hAnsi="Calibri"/>
                <w:sz w:val="22"/>
              </w:rPr>
              <w:t>107.6</w:t>
            </w:r>
          </w:p>
        </w:tc>
        <w:tc>
          <w:tcPr>
            <w:tcW w:type="dxa" w:w="2160"/>
          </w:tcPr>
          <w:p>
            <w:r>
              <w:rPr>
                <w:rFonts w:ascii="Calibri" w:hAnsi="Calibri"/>
                <w:sz w:val="22"/>
              </w:rPr>
              <w:t>105.4</w:t>
            </w:r>
          </w:p>
        </w:tc>
      </w:tr>
    </w:tbl>
    <w:p>
      <w:r>
        <w:rPr>
          <w:rFonts w:ascii="Calibri" w:hAnsi="Calibri"/>
          <w:b/>
          <w:color w:val="525866"/>
          <w:sz w:val="22"/>
        </w:rPr>
        <w:t>Key Events Since April 30 Earnings:</w:t>
      </w:r>
    </w:p>
    <w:p>
      <w:pPr>
        <w:pStyle w:val="ListBullet"/>
        <w:ind w:left="360" w:hanging="360"/>
      </w:pPr>
      <w:r>
        <w:rPr>
          <w:rFonts w:ascii="Calibri" w:hAnsi="Calibri"/>
          <w:b/>
          <w:color w:val="525866"/>
          <w:sz w:val="22"/>
        </w:rPr>
        <w:t>Apr 30, 2026:</w:t>
      </w:r>
      <w:r>
        <w:rPr>
          <w:rFonts w:ascii="Calibri" w:hAnsi="Calibri"/>
          <w:color w:val="525866"/>
          <w:sz w:val="22"/>
        </w:rPr>
        <w:t xml:space="preserve"> Q3 FY2026 earnings — massive beat on all metrics (revenue $5.95B vs. $4.78B consensus; EPS $23.41 vs. $15.11); stock rose modestly intraday but fell in extended trading despite blowout results. Base = 100.</w:t>
      </w:r>
    </w:p>
    <w:p>
      <w:pPr>
        <w:pStyle w:val="ListBullet"/>
        <w:ind w:left="360" w:hanging="360"/>
      </w:pPr>
      <w:r>
        <w:rPr>
          <w:rFonts w:ascii="Calibri" w:hAnsi="Calibri"/>
          <w:b/>
          <w:color w:val="525866"/>
          <w:sz w:val="22"/>
        </w:rPr>
        <w:t>May 14, 2026:</w:t>
      </w:r>
      <w:r>
        <w:rPr>
          <w:rFonts w:ascii="Calibri" w:hAnsi="Calibri"/>
          <w:color w:val="525866"/>
          <w:sz w:val="22"/>
        </w:rPr>
        <w:t xml:space="preserve"> SNDK advised shareholders against an unsolicited mini-tender offer (8-K filed). Stock at ~$1,383 (indexed ~126).</w:t>
      </w:r>
    </w:p>
    <w:p>
      <w:pPr>
        <w:pStyle w:val="ListBullet"/>
        <w:ind w:left="360" w:hanging="360"/>
      </w:pPr>
      <w:r>
        <w:rPr>
          <w:rFonts w:ascii="Calibri" w:hAnsi="Calibri"/>
          <w:b/>
          <w:color w:val="525866"/>
          <w:sz w:val="22"/>
        </w:rPr>
        <w:t>May 20, 2026:</w:t>
      </w:r>
      <w:r>
        <w:rPr>
          <w:rFonts w:ascii="Calibri" w:hAnsi="Calibri"/>
          <w:color w:val="525866"/>
          <w:sz w:val="22"/>
        </w:rPr>
        <w:t xml:space="preserve"> JP Morgan TMC Conference — CFO reiterated undersupply conviction through end-2027; stock at ~$1,393 (indexed ~127).</w:t>
      </w:r>
    </w:p>
    <w:p>
      <w:pPr>
        <w:pStyle w:val="ListBullet"/>
        <w:ind w:left="360" w:hanging="360"/>
      </w:pPr>
      <w:r>
        <w:rPr>
          <w:rFonts w:ascii="Calibri" w:hAnsi="Calibri"/>
          <w:b/>
          <w:color w:val="525866"/>
          <w:sz w:val="22"/>
        </w:rPr>
        <w:t>May 28, 2026:</w:t>
      </w:r>
      <w:r>
        <w:rPr>
          <w:rFonts w:ascii="Calibri" w:hAnsi="Calibri"/>
          <w:color w:val="525866"/>
          <w:sz w:val="22"/>
        </w:rPr>
        <w:t xml:space="preserve"> Bernstein Conference — CEO discussed NBM structure, $42B RPO, and data center growth acceleration. Stock at ~$1,642 (indexed ~150).</w:t>
      </w:r>
    </w:p>
    <w:p>
      <w:pPr>
        <w:pStyle w:val="ListBullet"/>
        <w:ind w:left="360" w:hanging="360"/>
      </w:pPr>
      <w:r>
        <w:rPr>
          <w:rFonts w:ascii="Calibri" w:hAnsi="Calibri"/>
          <w:b/>
          <w:color w:val="525866"/>
          <w:sz w:val="22"/>
        </w:rPr>
        <w:t>Jun 9, 2026:</w:t>
      </w:r>
      <w:r>
        <w:rPr>
          <w:rFonts w:ascii="Calibri" w:hAnsi="Calibri"/>
          <w:color w:val="525866"/>
          <w:sz w:val="22"/>
        </w:rPr>
        <w:t xml:space="preserve"> Mizuho Conference — CFO confirmed FY2026 revenue ~$20B; CEO cited Street FY2027 consensus of ~$45B. Stock at ~$1,647 (indexed ~150).</w:t>
      </w:r>
    </w:p>
    <w:p>
      <w:pPr>
        <w:pStyle w:val="ListBullet"/>
        <w:ind w:left="360" w:hanging="360"/>
      </w:pPr>
      <w:r>
        <w:rPr>
          <w:rFonts w:ascii="Calibri" w:hAnsi="Calibri"/>
          <w:b/>
          <w:color w:val="525866"/>
          <w:sz w:val="22"/>
        </w:rPr>
        <w:t>Jun 22, 2026:</w:t>
      </w:r>
      <w:r>
        <w:rPr>
          <w:rFonts w:ascii="Calibri" w:hAnsi="Calibri"/>
          <w:color w:val="525866"/>
          <w:sz w:val="22"/>
        </w:rPr>
        <w:t xml:space="preserve"> SNDK hit all-time high of $2,273.73 (indexed ~207), up ~107% from earnings day.</w:t>
      </w:r>
    </w:p>
    <w:p>
      <w:pPr>
        <w:pStyle w:val="ListBullet"/>
        <w:ind w:left="360" w:hanging="360"/>
      </w:pPr>
      <w:r>
        <w:rPr>
          <w:rFonts w:ascii="Calibri" w:hAnsi="Calibri"/>
          <w:b/>
          <w:color w:val="525866"/>
          <w:sz w:val="22"/>
        </w:rPr>
        <w:t>Jul 9, 2026:</w:t>
      </w:r>
      <w:r>
        <w:rPr>
          <w:rFonts w:ascii="Calibri" w:hAnsi="Calibri"/>
          <w:color w:val="525866"/>
          <w:sz w:val="22"/>
        </w:rPr>
        <w:t xml:space="preserve"> SNDK announced Q4 FY2026 earnings date of August 5, 2026 and Investor Day on August 13, 2026. Stock at ~$1,858 (indexed ~169).</w:t>
      </w:r>
    </w:p>
    <w:p>
      <w:pPr>
        <w:pStyle w:val="ListBullet"/>
        <w:ind w:left="360" w:hanging="360"/>
      </w:pPr>
      <w:r>
        <w:rPr>
          <w:rFonts w:ascii="Calibri" w:hAnsi="Calibri"/>
          <w:b/>
          <w:color w:val="525866"/>
          <w:sz w:val="22"/>
        </w:rPr>
        <w:t>Jul 29–30, 2026:</w:t>
      </w:r>
      <w:r>
        <w:rPr>
          <w:rFonts w:ascii="Calibri" w:hAnsi="Calibri"/>
          <w:color w:val="525866"/>
          <w:sz w:val="22"/>
        </w:rPr>
        <w:t xml:space="preserve"> SNDK hit trough of $1,015.89 (indexed ~93) — down ~54% from June peak; stock rose 25.99% on July 30 as chip stocks rebounded. July was SNDK's worst month, making it the S&amp;P 500's biggest loser for the month.</w:t>
      </w:r>
    </w:p>
    <w:p>
      <w:pPr>
        <w:pStyle w:val="ListBullet"/>
        <w:ind w:left="360" w:hanging="360"/>
      </w:pPr>
      <w:r>
        <w:rPr>
          <w:rFonts w:ascii="Calibri" w:hAnsi="Calibri"/>
          <w:b/>
          <w:color w:val="525866"/>
          <w:sz w:val="22"/>
        </w:rPr>
        <w:t>Aug 3, 2026:</w:t>
      </w:r>
      <w:r>
        <w:rPr>
          <w:rFonts w:ascii="Calibri" w:hAnsi="Calibri"/>
          <w:color w:val="525866"/>
          <w:sz w:val="22"/>
        </w:rPr>
        <w:t xml:space="preserve"> Stock at $1,288.03 (indexed ~117.5), recovering from July trough ahead of earnings.</w:t>
      </w:r>
    </w:p>
    <w:p>
      <w:r>
        <w:rPr>
          <w:rFonts w:ascii="Calibri" w:hAnsi="Calibri"/>
          <w:b/>
          <w:color w:val="525866"/>
          <w:sz w:val="22"/>
        </w:rPr>
        <w:t xml:space="preserve">Valuation Context: </w:t>
      </w:r>
      <w:r>
        <w:rPr>
          <w:rFonts w:ascii="Calibri" w:hAnsi="Calibri"/>
          <w:color w:val="525866"/>
          <w:sz w:val="22"/>
        </w:rPr>
        <w:t>At $1,288 (Aug 3), SNDK trades at ~5.7x NTM P/E and ~4.7x NTM EV/EBITDA — a significant de-rating from the ~8.6x NTM P/E at the 6-month horizon. The 1-month multiple contraction of ~31% on EV/EBITDA and ~31% on P/E dwarfs the stock's -18% price decline, indicating the market is aggressively repricing the sustainability of the margin trajectory. Source: Stock Price Data (Yahoo Finance); Valuation multiples from internal stock performance decomposition analysis.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Q3 earnings is the dramatic July selloff — down ~54% from peak — which has reset the stock's entry point and sentiment heading into a print where management's track record of beating guidance is well-established; the Investor Day on August 13 (one week post-earnings) adds a second catalyst that could sustain or amplify any earnings-day move.</w:t>
      </w:r>
    </w:p>
    <w:p>
      <w:pPr>
        <w:pStyle w:val="ListBullet"/>
        <w:ind w:left="360" w:hanging="360"/>
      </w:pPr>
      <w:r>
        <w:rPr>
          <w:rFonts w:ascii="Calibri" w:hAnsi="Calibri"/>
          <w:b/>
          <w:color w:val="525866"/>
          <w:sz w:val="22"/>
        </w:rPr>
        <w:t>Aug 5, 2026 — Q4 FY2026 Earnings Call (4:30 PM ET):</w:t>
      </w:r>
      <w:r>
        <w:rPr>
          <w:rFonts w:ascii="Calibri" w:hAnsi="Calibri"/>
          <w:color w:val="525866"/>
          <w:sz w:val="22"/>
        </w:rPr>
        <w:t xml:space="preserve"> SNDK reports fiscal Q4 and full-year FY2026 results. Key watch items: (1) revenue and EPS vs. guidance and consensus; (2) gross margin vs. 79–81% guidance; (3) NBM coverage update (target: above 50% of FY2027 bits); (4) FY2027 data center growth forecast revision (currently mid-70s%); (5) QLC Stargate revenue contribution; (6) FY2027 guidance framework.</w:t>
      </w:r>
    </w:p>
    <w:p>
      <w:pPr>
        <w:pStyle w:val="ListBullet"/>
        <w:ind w:left="360" w:hanging="360"/>
      </w:pPr>
      <w:r>
        <w:rPr>
          <w:rFonts w:ascii="Calibri" w:hAnsi="Calibri"/>
          <w:b/>
          <w:color w:val="525866"/>
          <w:sz w:val="22"/>
        </w:rPr>
        <w:t>Aug 13, 2026 — Investor Day:</w:t>
      </w:r>
      <w:r>
        <w:rPr>
          <w:rFonts w:ascii="Calibri" w:hAnsi="Calibri"/>
          <w:color w:val="525866"/>
          <w:sz w:val="22"/>
        </w:rPr>
        <w:t xml:space="preserve"> SNDK announced an Investor Day one week after earnings (press release, July 9, 2026). This is a significant secondary catalyst — management is likely to provide a multi-year financial framework, updated NBM targets, and technology roadmap details (BiCS10, HBF timeline). The proximity to earnings amplifies the importance of the Q4 print as a setup for the Investor Day narrative.</w:t>
      </w:r>
    </w:p>
    <w:p>
      <w:pPr>
        <w:pStyle w:val="ListBullet"/>
        <w:ind w:left="360" w:hanging="360"/>
      </w:pPr>
      <w:r>
        <w:rPr>
          <w:rFonts w:ascii="Calibri" w:hAnsi="Calibri"/>
          <w:b/>
          <w:color w:val="525866"/>
          <w:sz w:val="22"/>
        </w:rPr>
        <w:t>Jul 29–30, 2026 — Dramatic July Selloff and Recovery:</w:t>
      </w:r>
      <w:r>
        <w:rPr>
          <w:rFonts w:ascii="Calibri" w:hAnsi="Calibri"/>
          <w:color w:val="525866"/>
          <w:sz w:val="22"/>
        </w:rPr>
        <w:t xml:space="preserve"> SNDK fell ~54% in July, making it the S&amp;P 500's biggest loser for the month, before recovering 25.99% on July 30 as chip stocks rebounded. The selloff appears sentiment/multiple-driven rather than fundamental, as no negative company-specific news was disclosed. The recovery suggests buyers emerged at the ~$1,000 level. Source: Barron's / News Digest (July 30, 2026).</w:t>
      </w:r>
    </w:p>
    <w:p>
      <w:pPr>
        <w:pStyle w:val="ListBullet"/>
        <w:ind w:left="360" w:hanging="360"/>
      </w:pPr>
      <w:r>
        <w:rPr>
          <w:rFonts w:ascii="Calibri" w:hAnsi="Calibri"/>
          <w:b/>
          <w:color w:val="525866"/>
          <w:sz w:val="22"/>
        </w:rPr>
        <w:t>Jun 24, 2026 — Micron (MU) Q3 FY2026 Earnings:</w:t>
      </w:r>
      <w:r>
        <w:rPr>
          <w:rFonts w:ascii="Calibri" w:hAnsi="Calibri"/>
          <w:color w:val="525866"/>
          <w:sz w:val="22"/>
        </w:rPr>
        <w:t xml:space="preserve"> Micron reported NAND revenue of $9.9B (+361% YoY, +99% QoQ) with NAND prices up mid-80s% sequentially, confirming extreme NAND market tightness. Micron extended its undersupply outlook beyond calendar 2027 and announced 16 Strategic Customer Agreements (SCAs) covering ~1/3 of NAND volume through 2030 with $22B in financial commitments — a direct structural read-through validating SNDK's NBM framework. Implication: confirms the pricing and demand environment underpinning SNDK's Q4 guidance.</w:t>
      </w:r>
    </w:p>
    <w:p>
      <w:pPr>
        <w:pStyle w:val="ListBullet"/>
        <w:ind w:left="360" w:hanging="360"/>
      </w:pPr>
      <w:r>
        <w:rPr>
          <w:rFonts w:ascii="Calibri" w:hAnsi="Calibri"/>
          <w:b/>
          <w:color w:val="525866"/>
          <w:sz w:val="22"/>
        </w:rPr>
        <w:t>Jul 28, 2026 — Seagate (STX) Q4 FY2026 Earnings:</w:t>
      </w:r>
      <w:r>
        <w:rPr>
          <w:rFonts w:ascii="Calibri" w:hAnsi="Calibri"/>
          <w:color w:val="525866"/>
          <w:sz w:val="22"/>
        </w:rPr>
        <w:t xml:space="preserve"> Seagate reported record results (revenue $3.6B, +48% YoY; gross margin 52.7%) and guided Q1 FY2027 revenue of $4.1B ±$100M with non-GAAP EPS of $7.30 ±$0.20. STX explicitly cited "ongoing tight supply conditions and increasing NAND pricing" as a driver of edge/IoT revenue growth — a direct NAND pricing confirmation. Implication: corroborates the tight NAND supply environment heading into SNDK's print.</w:t>
      </w:r>
    </w:p>
    <w:p>
      <w:pPr>
        <w:pStyle w:val="ListBullet"/>
        <w:ind w:left="360" w:hanging="360"/>
      </w:pPr>
      <w:r>
        <w:rPr>
          <w:rFonts w:ascii="Calibri" w:hAnsi="Calibri"/>
          <w:b/>
          <w:color w:val="525866"/>
          <w:sz w:val="22"/>
        </w:rPr>
        <w:t>Jun 11, 2026 — Western Digital (WDC) Share Exchange:</w:t>
      </w:r>
      <w:r>
        <w:rPr>
          <w:rFonts w:ascii="Calibri" w:hAnsi="Calibri"/>
          <w:color w:val="525866"/>
          <w:sz w:val="22"/>
        </w:rPr>
        <w:t xml:space="preserve"> Western Digital announced it would exchange SanDisk shares for its own stock (8-K filed June 11, 2026). This relates to the post-spinoff share structure and is not a fundamental business development, but worth monitoring for any overhang on SNDK's float.</w:t>
      </w:r>
    </w:p>
    <w:p>
      <w:pPr>
        <w:pStyle w:val="ListBullet"/>
        <w:ind w:left="360" w:hanging="360"/>
      </w:pPr>
      <w:r>
        <w:rPr>
          <w:rFonts w:ascii="Calibri" w:hAnsi="Calibri"/>
          <w:b/>
          <w:color w:val="525866"/>
          <w:sz w:val="22"/>
        </w:rPr>
        <w:t>May 14, 2026 — Mini-Tender Offer Advisory:</w:t>
      </w:r>
      <w:r>
        <w:rPr>
          <w:rFonts w:ascii="Calibri" w:hAnsi="Calibri"/>
          <w:color w:val="525866"/>
          <w:sz w:val="22"/>
        </w:rPr>
        <w:t xml:space="preserve"> SNDK advised shareholders against an unsolicited mini-tender offer (8-K filed May 14, 2026). The offer was below market price; management recommended rejection. No material business impact.</w:t>
      </w:r>
    </w:p>
    <w:p>
      <w:pPr>
        <w:pStyle w:val="ListBullet"/>
        <w:ind w:left="360" w:hanging="360"/>
      </w:pPr>
      <w:r>
        <w:rPr>
          <w:rFonts w:ascii="Calibri" w:hAnsi="Calibri"/>
          <w:b/>
          <w:color w:val="525866"/>
          <w:sz w:val="22"/>
        </w:rPr>
        <w:t>Mar 2026 — Nanya Technology Strategic Investment:</w:t>
      </w:r>
      <w:r>
        <w:rPr>
          <w:rFonts w:ascii="Calibri" w:hAnsi="Calibri"/>
          <w:color w:val="525866"/>
          <w:sz w:val="22"/>
        </w:rPr>
        <w:t xml:space="preserve"> SNDK made a minority equity investment in Nanya Technology alongside a multi-year DRAM supply arrangement, securing long-term DRAM sourcing for SSD products. Co-investors included Kioxia, Solidigm, and Cisco. Nanya is targeting production in 2027–2028. Implication: secures a critical component supply chain as enterprise SSD DRAM content grows.</w:t>
      </w:r>
    </w:p>
    <w:p>
      <w:pPr>
        <w:pStyle w:val="ListBullet"/>
        <w:ind w:left="360" w:hanging="360"/>
      </w:pPr>
      <w:r>
        <w:rPr>
          <w:rFonts w:ascii="Calibri" w:hAnsi="Calibri"/>
          <w:b/>
          <w:color w:val="525866"/>
          <w:sz w:val="22"/>
        </w:rPr>
        <w:t>Ongoing — Kioxia JV Extension:</w:t>
      </w:r>
      <w:r>
        <w:rPr>
          <w:rFonts w:ascii="Calibri" w:hAnsi="Calibri"/>
          <w:color w:val="525866"/>
          <w:sz w:val="22"/>
        </w:rPr>
        <w:t xml:space="preserve"> SNDK invested ~$1B to extend the Kioxia manufacturing JV agreement from 2030 to 2034, reflecting long-horizon demand conviction. This secures manufacturing partnership continuity well into the next decade and is consistent with management's multi-year supply commitment framework.</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insider activity since the Q3 earnings print has been sales — no open-market buys — but the pattern is not alarming: the CLO's transactions are under a 10b5-1 plan (pre-scheduled), and the CTO and CAO sales are modest in size relative to their holdings; the absence of any discretionary buying at current prices is a mild negative signal but not a red flag given the stock's extraordinary YTD appreciation.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Shek Bernard</w:t>
            </w:r>
          </w:p>
        </w:tc>
        <w:tc>
          <w:tcPr>
            <w:tcW w:type="dxa" w:w="1440"/>
          </w:tcPr>
          <w:p>
            <w:r>
              <w:rPr>
                <w:rFonts w:ascii="Calibri" w:hAnsi="Calibri"/>
                <w:sz w:val="22"/>
              </w:rPr>
              <w:t>Chief Legal Officer &amp; Secretary</w:t>
            </w:r>
          </w:p>
        </w:tc>
        <w:tc>
          <w:tcPr>
            <w:tcW w:type="dxa" w:w="1440"/>
          </w:tcPr>
          <w:p>
            <w:r>
              <w:rPr>
                <w:rFonts w:ascii="Calibri" w:hAnsi="Calibri"/>
                <w:sz w:val="22"/>
              </w:rPr>
              <w:t>10b5-1 Planned Sale</w:t>
            </w:r>
          </w:p>
        </w:tc>
        <w:tc>
          <w:tcPr>
            <w:tcW w:type="dxa" w:w="1440"/>
          </w:tcPr>
          <w:p>
            <w:r>
              <w:rPr>
                <w:rFonts w:ascii="Calibri" w:hAnsi="Calibri"/>
                <w:sz w:val="22"/>
              </w:rPr>
              <w:t>600 shares</w:t>
            </w:r>
          </w:p>
        </w:tc>
        <w:tc>
          <w:tcPr>
            <w:tcW w:type="dxa" w:w="1440"/>
          </w:tcPr>
          <w:p>
            <w:r>
              <w:rPr>
                <w:rFonts w:ascii="Calibri" w:hAnsi="Calibri"/>
                <w:sz w:val="22"/>
              </w:rPr>
              <w:t>Jul 1, 2026</w:t>
            </w:r>
          </w:p>
        </w:tc>
        <w:tc>
          <w:tcPr>
            <w:tcW w:type="dxa" w:w="1440"/>
          </w:tcPr>
          <w:p>
            <w:r>
              <w:rPr>
                <w:rFonts w:ascii="Calibri" w:hAnsi="Calibri"/>
                <w:sz w:val="22"/>
              </w:rPr>
              <w:t>Pre-scheduled 10b5-1 plan; routine, obligation-driven. Remaining holdings: 31,515 shares.</w:t>
            </w:r>
          </w:p>
        </w:tc>
      </w:tr>
      <w:tr>
        <w:tc>
          <w:tcPr>
            <w:tcW w:type="dxa" w:w="1440"/>
          </w:tcPr>
          <w:p>
            <w:r>
              <w:rPr>
                <w:rFonts w:ascii="Calibri" w:hAnsi="Calibri"/>
                <w:sz w:val="22"/>
              </w:rPr>
              <w:t>Shek Bernard</w:t>
            </w:r>
          </w:p>
        </w:tc>
        <w:tc>
          <w:tcPr>
            <w:tcW w:type="dxa" w:w="1440"/>
          </w:tcPr>
          <w:p>
            <w:r>
              <w:rPr>
                <w:rFonts w:ascii="Calibri" w:hAnsi="Calibri"/>
                <w:sz w:val="22"/>
              </w:rPr>
              <w:t>Chief Legal Officer &amp; Secretary</w:t>
            </w:r>
          </w:p>
        </w:tc>
        <w:tc>
          <w:tcPr>
            <w:tcW w:type="dxa" w:w="1440"/>
          </w:tcPr>
          <w:p>
            <w:r>
              <w:rPr>
                <w:rFonts w:ascii="Calibri" w:hAnsi="Calibri"/>
                <w:sz w:val="22"/>
              </w:rPr>
              <w:t>10b5-1 Planned Sale</w:t>
            </w:r>
          </w:p>
        </w:tc>
        <w:tc>
          <w:tcPr>
            <w:tcW w:type="dxa" w:w="1440"/>
          </w:tcPr>
          <w:p>
            <w:r>
              <w:rPr>
                <w:rFonts w:ascii="Calibri" w:hAnsi="Calibri"/>
                <w:sz w:val="22"/>
              </w:rPr>
              <w:t>600 shares</w:t>
            </w:r>
          </w:p>
        </w:tc>
        <w:tc>
          <w:tcPr>
            <w:tcW w:type="dxa" w:w="1440"/>
          </w:tcPr>
          <w:p>
            <w:r>
              <w:rPr>
                <w:rFonts w:ascii="Calibri" w:hAnsi="Calibri"/>
                <w:sz w:val="22"/>
              </w:rPr>
              <w:t>Jun 3, 2026</w:t>
            </w:r>
          </w:p>
        </w:tc>
        <w:tc>
          <w:tcPr>
            <w:tcW w:type="dxa" w:w="1440"/>
          </w:tcPr>
          <w:p>
            <w:r>
              <w:rPr>
                <w:rFonts w:ascii="Calibri" w:hAnsi="Calibri"/>
                <w:sz w:val="22"/>
              </w:rPr>
              <w:t>Pre-scheduled 10b5-1 plan; routine, obligation-driven. Remaining holdings: 32,232 shares.</w:t>
            </w:r>
          </w:p>
        </w:tc>
      </w:tr>
      <w:tr>
        <w:tc>
          <w:tcPr>
            <w:tcW w:type="dxa" w:w="1440"/>
          </w:tcPr>
          <w:p>
            <w:r>
              <w:rPr>
                <w:rFonts w:ascii="Calibri" w:hAnsi="Calibri"/>
                <w:sz w:val="22"/>
              </w:rPr>
              <w:t>Ilkbahar Alper</w:t>
            </w:r>
          </w:p>
        </w:tc>
        <w:tc>
          <w:tcPr>
            <w:tcW w:type="dxa" w:w="1440"/>
          </w:tcPr>
          <w:p>
            <w:r>
              <w:rPr>
                <w:rFonts w:ascii="Calibri" w:hAnsi="Calibri"/>
                <w:sz w:val="22"/>
              </w:rPr>
              <w:t>EVP, Chief Technology Officer</w:t>
            </w:r>
          </w:p>
        </w:tc>
        <w:tc>
          <w:tcPr>
            <w:tcW w:type="dxa" w:w="1440"/>
          </w:tcPr>
          <w:p>
            <w:r>
              <w:rPr>
                <w:rFonts w:ascii="Calibri" w:hAnsi="Calibri"/>
                <w:sz w:val="22"/>
              </w:rPr>
              <w:t>Open Market Sale</w:t>
            </w:r>
          </w:p>
        </w:tc>
        <w:tc>
          <w:tcPr>
            <w:tcW w:type="dxa" w:w="1440"/>
          </w:tcPr>
          <w:p>
            <w:r>
              <w:rPr>
                <w:rFonts w:ascii="Calibri" w:hAnsi="Calibri"/>
                <w:sz w:val="22"/>
              </w:rPr>
              <w:t>2,000 shares</w:t>
            </w:r>
          </w:p>
        </w:tc>
        <w:tc>
          <w:tcPr>
            <w:tcW w:type="dxa" w:w="1440"/>
          </w:tcPr>
          <w:p>
            <w:r>
              <w:rPr>
                <w:rFonts w:ascii="Calibri" w:hAnsi="Calibri"/>
                <w:sz w:val="22"/>
              </w:rPr>
              <w:t>Jun 1, 2026</w:t>
            </w:r>
          </w:p>
        </w:tc>
        <w:tc>
          <w:tcPr>
            <w:tcW w:type="dxa" w:w="1440"/>
          </w:tcPr>
          <w:p>
            <w:r>
              <w:rPr>
                <w:rFonts w:ascii="Calibri" w:hAnsi="Calibri"/>
                <w:sz w:val="22"/>
              </w:rPr>
              <w:t>Discretionary sale; not under 10b5-1 plan. Remaining holdings: 52,677 shares (~3.7% of position sold). Sold near stock's all-time high range.</w:t>
            </w:r>
          </w:p>
        </w:tc>
      </w:tr>
      <w:tr>
        <w:tc>
          <w:tcPr>
            <w:tcW w:type="dxa" w:w="1440"/>
          </w:tcPr>
          <w:p>
            <w:r>
              <w:rPr>
                <w:rFonts w:ascii="Calibri" w:hAnsi="Calibri"/>
                <w:sz w:val="22"/>
              </w:rPr>
              <w:t>Pokorny Michael</w:t>
            </w:r>
          </w:p>
        </w:tc>
        <w:tc>
          <w:tcPr>
            <w:tcW w:type="dxa" w:w="1440"/>
          </w:tcPr>
          <w:p>
            <w:r>
              <w:rPr>
                <w:rFonts w:ascii="Calibri" w:hAnsi="Calibri"/>
                <w:sz w:val="22"/>
              </w:rPr>
              <w:t>VP, Chief Accounting Officer</w:t>
            </w:r>
          </w:p>
        </w:tc>
        <w:tc>
          <w:tcPr>
            <w:tcW w:type="dxa" w:w="1440"/>
          </w:tcPr>
          <w:p>
            <w:r>
              <w:rPr>
                <w:rFonts w:ascii="Calibri" w:hAnsi="Calibri"/>
                <w:sz w:val="22"/>
              </w:rPr>
              <w:t>Open Market Sale</w:t>
            </w:r>
          </w:p>
        </w:tc>
        <w:tc>
          <w:tcPr>
            <w:tcW w:type="dxa" w:w="1440"/>
          </w:tcPr>
          <w:p>
            <w:r>
              <w:rPr>
                <w:rFonts w:ascii="Calibri" w:hAnsi="Calibri"/>
                <w:sz w:val="22"/>
              </w:rPr>
              <w:t>2,446 shares</w:t>
            </w:r>
          </w:p>
        </w:tc>
        <w:tc>
          <w:tcPr>
            <w:tcW w:type="dxa" w:w="1440"/>
          </w:tcPr>
          <w:p>
            <w:r>
              <w:rPr>
                <w:rFonts w:ascii="Calibri" w:hAnsi="Calibri"/>
                <w:sz w:val="22"/>
              </w:rPr>
              <w:t>May 12, 2026</w:t>
            </w:r>
          </w:p>
        </w:tc>
        <w:tc>
          <w:tcPr>
            <w:tcW w:type="dxa" w:w="1440"/>
          </w:tcPr>
          <w:p>
            <w:r>
              <w:rPr>
                <w:rFonts w:ascii="Calibri" w:hAnsi="Calibri"/>
                <w:sz w:val="22"/>
              </w:rPr>
              <w:t>Discretionary sale; not under 10b5-1 plan. Remaining holdings: 22,375 shares (~9.9% of position sold). Sold during post-earnings rally.</w:t>
            </w:r>
          </w:p>
        </w:tc>
      </w:tr>
      <w:tr>
        <w:tc>
          <w:tcPr>
            <w:tcW w:type="dxa" w:w="1440"/>
          </w:tcPr>
          <w:p>
            <w:r>
              <w:rPr>
                <w:rFonts w:ascii="Calibri" w:hAnsi="Calibri"/>
                <w:sz w:val="22"/>
              </w:rPr>
              <w:t>Sayiner Necip</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579 shares</w:t>
            </w:r>
          </w:p>
        </w:tc>
        <w:tc>
          <w:tcPr>
            <w:tcW w:type="dxa" w:w="1440"/>
          </w:tcPr>
          <w:p>
            <w:r>
              <w:rPr>
                <w:rFonts w:ascii="Calibri" w:hAnsi="Calibri"/>
                <w:sz w:val="22"/>
              </w:rPr>
              <w:t>May 8, 2026</w:t>
            </w:r>
          </w:p>
        </w:tc>
        <w:tc>
          <w:tcPr>
            <w:tcW w:type="dxa" w:w="1440"/>
          </w:tcPr>
          <w:p>
            <w:r>
              <w:rPr>
                <w:rFonts w:ascii="Calibri" w:hAnsi="Calibri"/>
                <w:sz w:val="22"/>
              </w:rPr>
              <w:t>Discretionary sale; not under 10b5-1 plan. Remaining holdings: 2,900 shares (~16.6% of position sold). Relatively small absolute size.</w:t>
            </w:r>
          </w:p>
        </w:tc>
      </w:tr>
    </w:tbl>
    <w:p>
      <w:r>
        <w:rPr>
          <w:rFonts w:ascii="Calibri" w:hAnsi="Calibri"/>
          <w:b/>
          <w:color w:val="525866"/>
          <w:sz w:val="22"/>
        </w:rPr>
        <w:t xml:space="preserve">Source: </w:t>
      </w:r>
      <w:r>
        <w:rPr>
          <w:rFonts w:ascii="Calibri" w:hAnsi="Calibri"/>
          <w:color w:val="525866"/>
          <w:sz w:val="22"/>
        </w:rPr>
        <w:t>SEC Form 4 filings. Form 4 Filing — Shek Bernard (SNDK) on 2026-07-01 (https://www.sec.gov/Archives/edgar/data/2023554/000136324926000056/xslF345X06/edgardoc.xml); Form 4 Filing — Shek Bernard (SNDK) on 2026-06-03 (https://www.sec.gov/Archives/edgar/data/2023554/000136324926000052/xslF345X06/edgardoc.xml); Form 4 Filing — Ilkbahar Alper (SNDK) on 2026-06-01 (https://www.sec.gov/Archives/edgar/data/2023554/000136324926000048/xslF345X06/edgardoc.xml); Form 4 Filing — Pokorny Michael (SNDK) on 2026-05-12 (https://www.sec.gov/Archives/edgar/data/2023554/000136324926000032/xslF345X06/edgardoc.xml); Form 4 Filing — Sayiner Necip (SNDK) on 2026-05-08 (https://www.sec.gov/Archives/edgar/data/1338515/000136324926000028/xslF345X06/edgardoc.xml).</w:t>
      </w:r>
    </w:p>
    <w:p>
      <w:r>
        <w:rPr>
          <w:rFonts w:ascii="Calibri" w:hAnsi="Calibri"/>
          <w:b/>
          <w:color w:val="525866"/>
          <w:sz w:val="22"/>
        </w:rPr>
        <w:t xml:space="preserve">Assessment: </w:t>
      </w:r>
      <w:r>
        <w:rPr>
          <w:rFonts w:ascii="Calibri" w:hAnsi="Calibri"/>
          <w:color w:val="525866"/>
          <w:sz w:val="22"/>
        </w:rPr>
        <w:t>The CTO's discretionary sale of 2,000 shares on June 1 (near the stock's all-time high) is the most notable transaction — it was not pre-planned under a 10b5-1 program, suggesting a deliberate decision to take profits at elevated levels. However, the absolute size is modest relative to remaining holdings (52,677 shares), and the sale occurred before the July selloff, so it does not signal any knowledge of a negative Q4 outcome. No open-market buys have been filed since the spinoff, which is a mild negative signal but not unusual for a newly public company with a stock that has appreciated dramatically.</w:t>
      </w:r>
    </w:p>
    <w:p>
      <w:r>
        <w:br w:type="page"/>
      </w:r>
    </w:p>
    <w:p>
      <w:pPr>
        <w:pStyle w:val="Heading2"/>
      </w:pPr>
      <w:r>
        <w:rPr>
          <w:rFonts w:ascii="Calibri" w:hAnsi="Calibri"/>
          <w:b/>
          <w:color w:val="3B4259"/>
          <w:sz w:val="28"/>
        </w:rPr>
        <w:t>8. Peer Commentary: Current-Quarter Read-Throughs (Last 60 Days)</w:t>
      </w:r>
    </w:p>
    <w:p>
      <w:r>
        <w:rPr>
          <w:rFonts w:ascii="Calibri" w:hAnsi="Calibri"/>
          <w:b/>
          <w:color w:val="525866"/>
          <w:sz w:val="22"/>
        </w:rPr>
        <w:t xml:space="preserve">Key Takeaway: </w:t>
      </w:r>
      <w:r>
        <w:rPr>
          <w:rFonts w:ascii="Calibri" w:hAnsi="Calibri"/>
          <w:color w:val="525866"/>
          <w:sz w:val="22"/>
        </w:rPr>
        <w:t>Peer commentary from the last 60 days is overwhelmingly constructive for SNDK's Q4 FY2026 print — Micron's June 24 earnings confirmed NAND prices surged mid-80s% sequentially in the March quarter with tight conditions expected to persist beyond calendar 2027, and Seagate's July 28 earnings explicitly cited "increasing NAND pricing" as a current-quarter tailwind — both providing direct, current-quarter read-throughs that validate SNDK's Q4 guidance and support the case for another beat.</w:t>
      </w:r>
    </w:p>
    <w:p>
      <w:r>
        <w:rPr>
          <w:rFonts w:ascii="Calibri" w:hAnsi="Calibri"/>
          <w:i/>
          <w:color w:val="525866"/>
          <w:sz w:val="22"/>
        </w:rPr>
        <w:t xml:space="preserve">Methodology: </w:t>
      </w:r>
      <w:r>
        <w:rPr>
          <w:rFonts w:ascii="Calibri" w:hAnsi="Calibri"/>
          <w:i/>
          <w:color w:val="525866"/>
          <w:sz w:val="22"/>
        </w:rPr>
        <w:t xml:space="preserve"> Only commentary explicitly about the current reporting quarter (SNDK's Q4 FY2026, ending June 30, 2026) or forward-looking statements made after SNDK's last earnings (April 30, 2026) are included. Retrospective peer results commentary about prior quarters is excluded. Peers are separated into (A) Direct NAND Read-Throughs and (B) Indirect Storage/HDD Signals.</w:t>
      </w:r>
    </w:p>
    <w:p>
      <w:pPr>
        <w:pStyle w:val="Heading3"/>
      </w:pPr>
      <w:r>
        <w:rPr>
          <w:rFonts w:ascii="Calibri" w:hAnsi="Calibri"/>
          <w:b/>
          <w:color w:val="3B4259"/>
          <w:sz w:val="24"/>
        </w:rPr>
        <w:t>A. Direct NAND Read-Throughs</w:t>
      </w:r>
    </w:p>
    <w:p>
      <w:pPr>
        <w:pStyle w:val="Heading4"/>
      </w:pPr>
      <w:r>
        <w:rPr>
          <w:rFonts w:ascii="Calibri" w:hAnsi="Calibri"/>
          <w:b/>
          <w:color w:val="3B4259"/>
          <w:sz w:val="22"/>
        </w:rPr>
        <w:t>Micron Technology (MU) — Q3 FY2026 Earnings Call &amp; Post-Earnings Analyst Call (June 24, 2026)</w:t>
      </w:r>
    </w:p>
    <w:p>
      <w:r>
        <w:rPr>
          <w:rFonts w:ascii="Calibri" w:hAnsi="Calibri"/>
          <w:b/>
          <w:color w:val="525866"/>
          <w:sz w:val="22"/>
        </w:rPr>
        <w:t xml:space="preserve">Relevance: </w:t>
      </w:r>
      <w:r>
        <w:rPr>
          <w:rFonts w:ascii="Calibri" w:hAnsi="Calibri"/>
          <w:color w:val="525866"/>
          <w:sz w:val="22"/>
        </w:rPr>
        <w:t>Micron is the most direct NAND peer to SNDK. Micron's fiscal Q3 ended May 29, 2026 — overlapping with the first two months of SNDK's Q4 FY2026 (April–June 2026). Micron's forward guidance for its fiscal Q4 (June–August 2026) and its commentary on current NAND market conditions are the most relevant forward-looking read-throughs for SNDK's June quarter.</w:t>
      </w:r>
    </w:p>
    <w:p>
      <w:pPr>
        <w:pStyle w:val="ListBullet"/>
        <w:ind w:left="360" w:hanging="360"/>
      </w:pPr>
      <w:r>
        <w:rPr>
          <w:rFonts w:ascii="Calibri" w:hAnsi="Calibri"/>
          <w:b/>
          <w:color w:val="525866"/>
          <w:sz w:val="22"/>
        </w:rPr>
        <w:t>NAND Prices Surged Mid-80s% Sequentially in Micron's Q3 (Mar–May 2026):</w:t>
      </w:r>
      <w:r>
        <w:rPr>
          <w:rFonts w:ascii="Calibri" w:hAnsi="Calibri"/>
          <w:color w:val="525866"/>
          <w:sz w:val="22"/>
        </w:rPr>
        <w:t xml:space="preserve"> "Prices increased in the mid-80s percentage range, driven by tight NAND industry conditions and a favorable mix." This is the most direct pricing read-through for SNDK's Q4 — SNDK's own Q3 (Jan–Mar 2026) saw ASP up ~136% sequentially, and Micron's data confirms the pricing environment remained extremely strong through May 2026, supporting SNDK's Q4 guidance of further pricing gains. Source: Micron Q3 FY2026 Earnings Call, June 24, 2026.</w:t>
      </w:r>
    </w:p>
    <w:p>
      <w:pPr>
        <w:pStyle w:val="ListBullet"/>
        <w:ind w:left="360" w:hanging="360"/>
      </w:pPr>
      <w:r>
        <w:rPr>
          <w:rFonts w:ascii="Calibri" w:hAnsi="Calibri"/>
          <w:b/>
          <w:color w:val="525866"/>
          <w:sz w:val="22"/>
        </w:rPr>
        <w:t>NAND Undersupply Extended Beyond Calendar 2027:</w:t>
      </w:r>
      <w:r>
        <w:rPr>
          <w:rFonts w:ascii="Calibri" w:hAnsi="Calibri"/>
          <w:color w:val="525866"/>
          <w:sz w:val="22"/>
        </w:rPr>
        <w:t xml:space="preserve"> "DRAM and NAND industry demand continues to significantly exceed industry supply. We expect tight conditions to persist beyond calendar 2027 as a result of AI-driven demand across all segments, coupled with structural supply constraints." This directly validates SNDK management's own undersupply conviction (extended to end-2027 on April 30) and supports the pricing environment underpinning Q4 guidance. Source: Micron Q3 FY2026 Earnings Call, June 24, 2026.</w:t>
      </w:r>
    </w:p>
    <w:p>
      <w:pPr>
        <w:pStyle w:val="ListBullet"/>
        <w:ind w:left="360" w:hanging="360"/>
      </w:pPr>
      <w:r>
        <w:rPr>
          <w:rFonts w:ascii="Calibri" w:hAnsi="Calibri"/>
          <w:b/>
          <w:color w:val="525866"/>
          <w:sz w:val="22"/>
        </w:rPr>
        <w:t>Data Center NAND Demand More Than Doubled YoY:</w:t>
      </w:r>
      <w:r>
        <w:rPr>
          <w:rFonts w:ascii="Calibri" w:hAnsi="Calibri"/>
          <w:color w:val="525866"/>
          <w:sz w:val="22"/>
        </w:rPr>
        <w:t xml:space="preserve"> "AI is driving unprecedented growth in data centers. With industry data center DRAM and NAND-based shipments in calendar 2026 expected to more than double from two years ago." Micron's data center revenue exceeded $5B in Q3, more than doubling sequentially. This corroborates SNDK's own data center revenue trajectory (up &gt;200% sequentially in Q3 FY2026) and supports the expectation of continued strong data center revenue in Q4. Source: Micron Q3 FY2026 Earnings Call, June 24, 2026.</w:t>
      </w:r>
    </w:p>
    <w:p>
      <w:pPr>
        <w:pStyle w:val="ListBullet"/>
        <w:ind w:left="360" w:hanging="360"/>
      </w:pPr>
      <w:r>
        <w:rPr>
          <w:rFonts w:ascii="Calibri" w:hAnsi="Calibri"/>
          <w:b/>
          <w:color w:val="525866"/>
          <w:sz w:val="22"/>
        </w:rPr>
        <w:t>Enterprise SSD Momentum "Exceptionally Strong":</w:t>
      </w:r>
      <w:r>
        <w:rPr>
          <w:rFonts w:ascii="Calibri" w:hAnsi="Calibri"/>
          <w:color w:val="525866"/>
          <w:sz w:val="22"/>
        </w:rPr>
        <w:t xml:space="preserve"> "Our enterprise SSD momentum is exceptionally strong" with a "$5 billion quarter in Q3 for enterprises for data center SSDs." Micron also noted it has "hit record share after record share of data center SSDs over time." This confirms robust enterprise SSD demand — the same market SNDK is targeting with its TLC and QLC Stargate products. Source: Micron Post-Q3 Analyst Call, June 24, 2026.</w:t>
      </w:r>
    </w:p>
    <w:p>
      <w:pPr>
        <w:pStyle w:val="ListBullet"/>
        <w:ind w:left="360" w:hanging="360"/>
      </w:pPr>
      <w:r>
        <w:rPr>
          <w:rFonts w:ascii="Calibri" w:hAnsi="Calibri"/>
          <w:b/>
          <w:color w:val="525866"/>
          <w:sz w:val="22"/>
        </w:rPr>
        <w:t>NAND Supply Structurally Constrained by DRAM/HBM Competition for Wafers:</w:t>
      </w:r>
      <w:r>
        <w:rPr>
          <w:rFonts w:ascii="Calibri" w:hAnsi="Calibri"/>
          <w:color w:val="525866"/>
          <w:sz w:val="22"/>
        </w:rPr>
        <w:t xml:space="preserve"> "Redirecting clean room space from NAND to DRAM and overall limited clean room space constrained NAND bit supply growth." This structural supply constraint — DRAM/HBM demand pulling wafer capacity away from NAND — is a multi-year tailwind for NAND pricing that benefits SNDK as a pure-play NAND supplier. Source: Micron Q3 FY2026 Earnings Call, June 24, 2026.</w:t>
      </w:r>
    </w:p>
    <w:p>
      <w:pPr>
        <w:pStyle w:val="ListBullet"/>
        <w:ind w:left="360" w:hanging="360"/>
      </w:pPr>
      <w:r>
        <w:rPr>
          <w:rFonts w:ascii="Calibri" w:hAnsi="Calibri"/>
          <w:b/>
          <w:color w:val="525866"/>
          <w:sz w:val="22"/>
        </w:rPr>
        <w:t>Micron's Q4 Guidance Implies "Meaningful Moderation in Rate of Price Increases":</w:t>
      </w:r>
      <w:r>
        <w:rPr>
          <w:rFonts w:ascii="Calibri" w:hAnsi="Calibri"/>
          <w:color w:val="525866"/>
          <w:sz w:val="22"/>
        </w:rPr>
        <w:t xml:space="preserve"> "Our fiscal Q4 gross margin outlook reflects a meaningful moderation in the rate of price increases." This is the key nuance — while NAND prices are still rising, the pace of sequential price increases is expected to slow in Micron's June–August quarter. This could be a mild headwind for SNDK's Q4 gross margin relative to the extraordinary Q3 trajectory, though SNDK's guidance of 79–81% already implies some moderation from Q3's ~78.4% (which itself was a massive beat). Source: Micron Q3 FY2026 Earnings Call, June 24, 2026.</w:t>
      </w:r>
    </w:p>
    <w:p>
      <w:pPr>
        <w:pStyle w:val="ListBullet"/>
        <w:ind w:left="360" w:hanging="360"/>
      </w:pPr>
      <w:r>
        <w:rPr>
          <w:rFonts w:ascii="Calibri" w:hAnsi="Calibri"/>
          <w:b/>
          <w:color w:val="525866"/>
          <w:sz w:val="22"/>
        </w:rPr>
        <w:t>Strategic Customer Agreements (SCAs) Validate NBM Framework:</w:t>
      </w:r>
      <w:r>
        <w:rPr>
          <w:rFonts w:ascii="Calibri" w:hAnsi="Calibri"/>
          <w:color w:val="525866"/>
          <w:sz w:val="22"/>
        </w:rPr>
        <w:t xml:space="preserve"> Micron announced 16 SCAs covering ~1/3 of NAND volume through 2030, with $22B in financial commitments ($18B in cash deposits). These are structured as take-or-pay agreements with price bands (floor and ceiling). This is a direct structural validation of SNDK's own NBM framework — the industry is converging on long-term supply agreements as the preferred model, which reduces cyclicality risk and supports SNDK's premium valuation argument. Source: Micron Post-Q3 Analyst Call, June 24, 2026.</w:t>
      </w:r>
    </w:p>
    <w:p>
      <w:pPr>
        <w:pStyle w:val="ListBullet"/>
        <w:ind w:left="360" w:hanging="360"/>
      </w:pPr>
      <w:r>
        <w:rPr>
          <w:rFonts w:ascii="Calibri" w:hAnsi="Calibri"/>
          <w:b/>
          <w:color w:val="525866"/>
          <w:sz w:val="22"/>
        </w:rPr>
        <w:t>Supply Growth Determined by Supply, Not Demand:</w:t>
      </w:r>
      <w:r>
        <w:rPr>
          <w:rFonts w:ascii="Calibri" w:hAnsi="Calibri"/>
          <w:color w:val="525866"/>
          <w:sz w:val="22"/>
        </w:rPr>
        <w:t xml:space="preserve"> "For the foreseeable future, the demand, the shipment growth for bits is not really determined by demand anymore. It's actually more determined by the supply because the demand is so much above the industry's ability to supply." This framing — supply-constrained rather than demand-constrained — is the most bullish possible read-through for SNDK's pricing power and margin trajectory. Source: Micron Post-Q3 Analyst Call, June 24, 2026.</w:t>
      </w:r>
    </w:p>
    <w:p>
      <w:pPr>
        <w:pStyle w:val="Heading3"/>
      </w:pPr>
      <w:r>
        <w:rPr>
          <w:rFonts w:ascii="Calibri" w:hAnsi="Calibri"/>
          <w:b/>
          <w:color w:val="3B4259"/>
          <w:sz w:val="24"/>
        </w:rPr>
        <w:t>D.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SNDK Implication</w:t>
            </w:r>
          </w:p>
        </w:tc>
      </w:tr>
      <w:tr>
        <w:tc>
          <w:tcPr>
            <w:tcW w:type="dxa" w:w="2160"/>
          </w:tcPr>
          <w:p>
            <w:r>
              <w:rPr>
                <w:rFonts w:ascii="Calibri" w:hAnsi="Calibri"/>
                <w:sz w:val="22"/>
              </w:rPr>
              <w:t>NAND prices +mid-80s% QoQ in Micron's Q3 (Mar–May 2026)</w:t>
            </w:r>
          </w:p>
        </w:tc>
        <w:tc>
          <w:tcPr>
            <w:tcW w:type="dxa" w:w="2160"/>
          </w:tcPr>
          <w:p>
            <w:r>
              <w:rPr>
                <w:rFonts w:ascii="Calibri" w:hAnsi="Calibri"/>
                <w:sz w:val="22"/>
              </w:rPr>
              <w:t>MU, Jun 24</w:t>
            </w:r>
          </w:p>
        </w:tc>
        <w:tc>
          <w:tcPr>
            <w:tcW w:type="dxa" w:w="2160"/>
          </w:tcPr>
          <w:p>
            <w:r>
              <w:rPr>
                <w:rFonts w:ascii="Calibri" w:hAnsi="Calibri"/>
                <w:b/>
                <w:color w:val="30A46C"/>
                <w:sz w:val="22"/>
              </w:rPr>
              <w:t>Positive</w:t>
            </w:r>
          </w:p>
        </w:tc>
        <w:tc>
          <w:tcPr>
            <w:tcW w:type="dxa" w:w="2160"/>
          </w:tcPr>
          <w:p>
            <w:r>
              <w:rPr>
                <w:rFonts w:ascii="Calibri" w:hAnsi="Calibri"/>
                <w:sz w:val="22"/>
              </w:rPr>
              <w:t>Confirms pricing environment supporting SNDK's Q4 revenue and margin guidance</w:t>
            </w:r>
          </w:p>
        </w:tc>
      </w:tr>
      <w:tr>
        <w:tc>
          <w:tcPr>
            <w:tcW w:type="dxa" w:w="2160"/>
          </w:tcPr>
          <w:p>
            <w:r>
              <w:rPr>
                <w:rFonts w:ascii="Calibri" w:hAnsi="Calibri"/>
                <w:sz w:val="22"/>
              </w:rPr>
              <w:t>NAND undersupply extended beyond CY2027</w:t>
            </w:r>
          </w:p>
        </w:tc>
        <w:tc>
          <w:tcPr>
            <w:tcW w:type="dxa" w:w="2160"/>
          </w:tcPr>
          <w:p>
            <w:r>
              <w:rPr>
                <w:rFonts w:ascii="Calibri" w:hAnsi="Calibri"/>
                <w:sz w:val="22"/>
              </w:rPr>
              <w:t>MU, Jun 24</w:t>
            </w:r>
          </w:p>
        </w:tc>
        <w:tc>
          <w:tcPr>
            <w:tcW w:type="dxa" w:w="2160"/>
          </w:tcPr>
          <w:p>
            <w:r>
              <w:rPr>
                <w:rFonts w:ascii="Calibri" w:hAnsi="Calibri"/>
                <w:b/>
                <w:color w:val="30A46C"/>
                <w:sz w:val="22"/>
              </w:rPr>
              <w:t>Positive</w:t>
            </w:r>
          </w:p>
        </w:tc>
        <w:tc>
          <w:tcPr>
            <w:tcW w:type="dxa" w:w="2160"/>
          </w:tcPr>
          <w:p>
            <w:r>
              <w:rPr>
                <w:rFonts w:ascii="Calibri" w:hAnsi="Calibri"/>
                <w:sz w:val="22"/>
              </w:rPr>
              <w:t>Validates SNDK's structural pricing power thesis and NBM framework rationale</w:t>
            </w:r>
          </w:p>
        </w:tc>
      </w:tr>
      <w:tr>
        <w:tc>
          <w:tcPr>
            <w:tcW w:type="dxa" w:w="2160"/>
          </w:tcPr>
          <w:p>
            <w:r>
              <w:rPr>
                <w:rFonts w:ascii="Calibri" w:hAnsi="Calibri"/>
                <w:sz w:val="22"/>
              </w:rPr>
              <w:t>Enterprise SSD demand "exceptionally strong"; $5B quarter for MU data center SSDs</w:t>
            </w:r>
          </w:p>
        </w:tc>
        <w:tc>
          <w:tcPr>
            <w:tcW w:type="dxa" w:w="2160"/>
          </w:tcPr>
          <w:p>
            <w:r>
              <w:rPr>
                <w:rFonts w:ascii="Calibri" w:hAnsi="Calibri"/>
                <w:sz w:val="22"/>
              </w:rPr>
              <w:t>MU, Jun 24</w:t>
            </w:r>
          </w:p>
        </w:tc>
        <w:tc>
          <w:tcPr>
            <w:tcW w:type="dxa" w:w="2160"/>
          </w:tcPr>
          <w:p>
            <w:r>
              <w:rPr>
                <w:rFonts w:ascii="Calibri" w:hAnsi="Calibri"/>
                <w:b/>
                <w:color w:val="30A46C"/>
                <w:sz w:val="22"/>
              </w:rPr>
              <w:t>Positive</w:t>
            </w:r>
          </w:p>
        </w:tc>
        <w:tc>
          <w:tcPr>
            <w:tcW w:type="dxa" w:w="2160"/>
          </w:tcPr>
          <w:p>
            <w:r>
              <w:rPr>
                <w:rFonts w:ascii="Calibri" w:hAnsi="Calibri"/>
                <w:sz w:val="22"/>
              </w:rPr>
              <w:t>Confirms robust demand for SNDK's TLC and QLC Stargate enterprise SSD products</w:t>
            </w:r>
          </w:p>
        </w:tc>
      </w:tr>
      <w:tr>
        <w:tc>
          <w:tcPr>
            <w:tcW w:type="dxa" w:w="2160"/>
          </w:tcPr>
          <w:p>
            <w:r>
              <w:rPr>
                <w:rFonts w:ascii="Calibri" w:hAnsi="Calibri"/>
                <w:sz w:val="22"/>
              </w:rPr>
              <w:t>"Meaningful moderation in rate of price increases" in MU's Q4 (Jun–Aug 2026)</w:t>
            </w:r>
          </w:p>
        </w:tc>
        <w:tc>
          <w:tcPr>
            <w:tcW w:type="dxa" w:w="2160"/>
          </w:tcPr>
          <w:p>
            <w:r>
              <w:rPr>
                <w:rFonts w:ascii="Calibri" w:hAnsi="Calibri"/>
                <w:sz w:val="22"/>
              </w:rPr>
              <w:t>MU, Jun 24</w:t>
            </w:r>
          </w:p>
        </w:tc>
        <w:tc>
          <w:tcPr>
            <w:tcW w:type="dxa" w:w="2160"/>
          </w:tcPr>
          <w:p>
            <w:r>
              <w:rPr>
                <w:rFonts w:ascii="Calibri" w:hAnsi="Calibri"/>
                <w:b/>
                <w:color w:val="002FA7"/>
                <w:sz w:val="22"/>
              </w:rPr>
              <w:t>Neutral/Caution</w:t>
            </w:r>
          </w:p>
        </w:tc>
        <w:tc>
          <w:tcPr>
            <w:tcW w:type="dxa" w:w="2160"/>
          </w:tcPr>
          <w:p>
            <w:r>
              <w:rPr>
                <w:rFonts w:ascii="Calibri" w:hAnsi="Calibri"/>
                <w:sz w:val="22"/>
              </w:rPr>
              <w:t>Pace of sequential price gains may slow; SNDK's Q4 guidance already implies some moderation</w:t>
            </w:r>
          </w:p>
        </w:tc>
      </w:tr>
      <w:tr>
        <w:tc>
          <w:tcPr>
            <w:tcW w:type="dxa" w:w="2160"/>
          </w:tcPr>
          <w:p>
            <w:r>
              <w:rPr>
                <w:rFonts w:ascii="Calibri" w:hAnsi="Calibri"/>
                <w:sz w:val="22"/>
              </w:rPr>
              <w:t>"Increasing NAND pricing" cited as current-quarter tailwind for STX edge/IoT</w:t>
            </w:r>
          </w:p>
        </w:tc>
        <w:tc>
          <w:tcPr>
            <w:tcW w:type="dxa" w:w="2160"/>
          </w:tcPr>
          <w:p>
            <w:r>
              <w:rPr>
                <w:rFonts w:ascii="Calibri" w:hAnsi="Calibri"/>
                <w:sz w:val="22"/>
              </w:rPr>
              <w:t>STX, Jul 28</w:t>
            </w:r>
          </w:p>
        </w:tc>
        <w:tc>
          <w:tcPr>
            <w:tcW w:type="dxa" w:w="2160"/>
          </w:tcPr>
          <w:p>
            <w:r>
              <w:rPr>
                <w:rFonts w:ascii="Calibri" w:hAnsi="Calibri"/>
                <w:b/>
                <w:color w:val="30A46C"/>
                <w:sz w:val="22"/>
              </w:rPr>
              <w:t>Positive</w:t>
            </w:r>
          </w:p>
        </w:tc>
        <w:tc>
          <w:tcPr>
            <w:tcW w:type="dxa" w:w="2160"/>
          </w:tcPr>
          <w:p>
            <w:r>
              <w:rPr>
                <w:rFonts w:ascii="Calibri" w:hAnsi="Calibri"/>
                <w:sz w:val="22"/>
              </w:rPr>
              <w:t>Direct third-party confirmation of NAND price increases during SNDK's Q4 FY2026</w:t>
            </w:r>
          </w:p>
        </w:tc>
      </w:tr>
      <w:tr>
        <w:tc>
          <w:tcPr>
            <w:tcW w:type="dxa" w:w="2160"/>
          </w:tcPr>
          <w:p>
            <w:r>
              <w:rPr>
                <w:rFonts w:ascii="Calibri" w:hAnsi="Calibri"/>
                <w:sz w:val="22"/>
              </w:rPr>
              <w:t>Data center storage demand strong; no slowdown; customers extending to 2029+</w:t>
            </w:r>
          </w:p>
        </w:tc>
        <w:tc>
          <w:tcPr>
            <w:tcW w:type="dxa" w:w="2160"/>
          </w:tcPr>
          <w:p>
            <w:r>
              <w:rPr>
                <w:rFonts w:ascii="Calibri" w:hAnsi="Calibri"/>
                <w:sz w:val="22"/>
              </w:rPr>
              <w:t>STX, Jul 28</w:t>
            </w:r>
          </w:p>
        </w:tc>
        <w:tc>
          <w:tcPr>
            <w:tcW w:type="dxa" w:w="2160"/>
          </w:tcPr>
          <w:p>
            <w:r>
              <w:rPr>
                <w:rFonts w:ascii="Calibri" w:hAnsi="Calibri"/>
                <w:b/>
                <w:color w:val="30A46C"/>
                <w:sz w:val="22"/>
              </w:rPr>
              <w:t>Positive</w:t>
            </w:r>
          </w:p>
        </w:tc>
        <w:tc>
          <w:tcPr>
            <w:tcW w:type="dxa" w:w="2160"/>
          </w:tcPr>
          <w:p>
            <w:r>
              <w:rPr>
                <w:rFonts w:ascii="Calibri" w:hAnsi="Calibri"/>
                <w:sz w:val="22"/>
              </w:rPr>
              <w:t>Confirms durable data center demand environment for SNDK's enterprise SSD growth</w:t>
            </w:r>
          </w:p>
        </w:tc>
      </w:tr>
      <w:tr>
        <w:tc>
          <w:tcPr>
            <w:tcW w:type="dxa" w:w="2160"/>
          </w:tcPr>
          <w:p>
            <w:r>
              <w:rPr>
                <w:rFonts w:ascii="Calibri" w:hAnsi="Calibri"/>
                <w:sz w:val="22"/>
              </w:rPr>
              <w:t>Tiered storage (SSD + HDD) validated for AI inference and agentic workloads</w:t>
            </w:r>
          </w:p>
        </w:tc>
        <w:tc>
          <w:tcPr>
            <w:tcW w:type="dxa" w:w="2160"/>
          </w:tcPr>
          <w:p>
            <w:r>
              <w:rPr>
                <w:rFonts w:ascii="Calibri" w:hAnsi="Calibri"/>
                <w:sz w:val="22"/>
              </w:rPr>
              <w:t>STX, Jul 28</w:t>
            </w:r>
          </w:p>
        </w:tc>
        <w:tc>
          <w:tcPr>
            <w:tcW w:type="dxa" w:w="2160"/>
          </w:tcPr>
          <w:p>
            <w:r>
              <w:rPr>
                <w:rFonts w:ascii="Calibri" w:hAnsi="Calibri"/>
                <w:b/>
                <w:color w:val="30A46C"/>
                <w:sz w:val="22"/>
              </w:rPr>
              <w:t>Positive</w:t>
            </w:r>
          </w:p>
        </w:tc>
        <w:tc>
          <w:tcPr>
            <w:tcW w:type="dxa" w:w="2160"/>
          </w:tcPr>
          <w:p>
            <w:r>
              <w:rPr>
                <w:rFonts w:ascii="Calibri" w:hAnsi="Calibri"/>
                <w:sz w:val="22"/>
              </w:rPr>
              <w:t>Validates SNDK's enterprise SSD positioning in AI infrastructure architectures</w:t>
            </w:r>
          </w:p>
        </w:tc>
      </w:tr>
      <w:tr>
        <w:tc>
          <w:tcPr>
            <w:tcW w:type="dxa" w:w="2160"/>
          </w:tcPr>
          <w:p>
            <w:r>
              <w:rPr>
                <w:rFonts w:ascii="Calibri" w:hAnsi="Calibri"/>
                <w:sz w:val="22"/>
              </w:rPr>
              <w:t>MU 16 SCAs covering 1/3 of NAND volume; $22B financial commitments</w:t>
            </w:r>
          </w:p>
        </w:tc>
        <w:tc>
          <w:tcPr>
            <w:tcW w:type="dxa" w:w="2160"/>
          </w:tcPr>
          <w:p>
            <w:r>
              <w:rPr>
                <w:rFonts w:ascii="Calibri" w:hAnsi="Calibri"/>
                <w:sz w:val="22"/>
              </w:rPr>
              <w:t>MU, Jun 24</w:t>
            </w:r>
          </w:p>
        </w:tc>
        <w:tc>
          <w:tcPr>
            <w:tcW w:type="dxa" w:w="2160"/>
          </w:tcPr>
          <w:p>
            <w:r>
              <w:rPr>
                <w:rFonts w:ascii="Calibri" w:hAnsi="Calibri"/>
                <w:b/>
                <w:color w:val="30A46C"/>
                <w:sz w:val="22"/>
              </w:rPr>
              <w:t>Positive</w:t>
            </w:r>
          </w:p>
        </w:tc>
        <w:tc>
          <w:tcPr>
            <w:tcW w:type="dxa" w:w="2160"/>
          </w:tcPr>
          <w:p>
            <w:r>
              <w:rPr>
                <w:rFonts w:ascii="Calibri" w:hAnsi="Calibri"/>
                <w:sz w:val="22"/>
              </w:rPr>
              <w:t>Industry-wide validation of SNDK's NBM framework; reduces cyclicality risk premium</w:t>
            </w:r>
          </w:p>
        </w:tc>
      </w:tr>
    </w:tbl>
    <w:p>
      <w:r>
        <w:br w:type="page"/>
      </w:r>
    </w:p>
    <w:p>
      <w:pPr>
        <w:pStyle w:val="Heading2"/>
      </w:pPr>
      <w:r>
        <w:rPr>
          <w:rFonts w:ascii="Calibri" w:hAnsi="Calibri"/>
          <w:b/>
          <w:color w:val="3B4259"/>
          <w:sz w:val="28"/>
        </w:rPr>
        <w:t>Appendix: Key Definitions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All KPI consensus and actuals figures sourced from Visible Alpha (https://insights.visiblealpha.com/mex/SNDK_US/NMV/IS and /RV). VA fiscal period labels used: 4QFY2026 = quarter ending June 30, 2026; 3QFY2026 = quarter ending March 31, 2026; 4QFY2025 = quarter ending June 30, 2025; FY2026 = fiscal year ending June 30, 2026; FY2027 = fiscal year ending June 30, 2027.</w:t>
      </w:r>
    </w:p>
    <w:p>
      <w:pPr>
        <w:pStyle w:val="ListBullet"/>
        <w:ind w:left="360" w:hanging="360"/>
      </w:pPr>
      <w:r>
        <w:rPr>
          <w:rFonts w:ascii="Calibri" w:hAnsi="Calibri"/>
          <w:b/>
          <w:color w:val="525866"/>
          <w:sz w:val="22"/>
        </w:rPr>
        <w:t>Stock Price Data:</w:t>
      </w:r>
      <w:r>
        <w:rPr>
          <w:rFonts w:ascii="Calibri" w:hAnsi="Calibri"/>
          <w:color w:val="525866"/>
          <w:sz w:val="22"/>
        </w:rPr>
        <w:t xml:space="preserve"> Daily closing prices from Yahoo Finance. Indexed performance calculated with April 30, 2026 (Q3 FY2026 earnings date) as base = 100.</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SEC Form 4 filings via SEC EDGAR (https://www.sec.gov/). Filing-date window: April 30, 2026 – August 4, 2026. Open-market buys (code P) and sales (code S) only.</w:t>
      </w:r>
    </w:p>
    <w:p>
      <w:pPr>
        <w:pStyle w:val="ListBullet"/>
        <w:ind w:left="360" w:hanging="360"/>
      </w:pPr>
      <w:r>
        <w:rPr>
          <w:rFonts w:ascii="Calibri" w:hAnsi="Calibri"/>
          <w:b/>
          <w:color w:val="525866"/>
          <w:sz w:val="22"/>
        </w:rPr>
        <w:t>Earnings Call Transcripts:</w:t>
      </w:r>
      <w:r>
        <w:rPr>
          <w:rFonts w:ascii="Calibri" w:hAnsi="Calibri"/>
          <w:color w:val="525866"/>
          <w:sz w:val="22"/>
        </w:rPr>
        <w:t xml:space="preserve"> SNDK Q3 FY2026 Earnings Call (April 30, 2026); SNDK JP Morgan TMC Conference (May 20, 2026); SNDK Bernstein Strategic Decisions Conference (May 28, 2026); SNDK Mizuho Technology Conference (June 9, 2026); Micron Q3 FY2026 Earnings Call (June 24, 2026); Micron Post-Q3 Analyst Call (June 24, 2026); Seagate Q4 FY2026 Earnings Call (July 28, 2026). All sourced from internal financial documents database.</w:t>
      </w:r>
    </w:p>
    <w:p>
      <w:pPr>
        <w:pStyle w:val="ListBullet"/>
        <w:ind w:left="360" w:hanging="360"/>
      </w:pPr>
      <w:r>
        <w:rPr>
          <w:rFonts w:ascii="Calibri" w:hAnsi="Calibri"/>
          <w:b/>
          <w:color w:val="525866"/>
          <w:sz w:val="22"/>
        </w:rPr>
        <w:t>Sector ETF:</w:t>
      </w:r>
      <w:r>
        <w:rPr>
          <w:rFonts w:ascii="Calibri" w:hAnsi="Calibri"/>
          <w:color w:val="525866"/>
          <w:sz w:val="22"/>
        </w:rPr>
        <w:t xml:space="preserve"> SMH (VanEck Semiconductor ETF) used as the sector benchmark, appropriate for SNDK's semiconductor/NAND sub-sector.</w:t>
      </w:r>
    </w:p>
    <w:p>
      <w:pPr>
        <w:pStyle w:val="ListBullet"/>
        <w:ind w:left="360" w:hanging="360"/>
      </w:pPr>
      <w:r>
        <w:rPr>
          <w:rFonts w:ascii="Calibri" w:hAnsi="Calibri"/>
          <w:b/>
          <w:color w:val="525866"/>
          <w:sz w:val="22"/>
        </w:rPr>
        <w:t>NBM:</w:t>
      </w:r>
      <w:r>
        <w:rPr>
          <w:rFonts w:ascii="Calibri" w:hAnsi="Calibri"/>
          <w:color w:val="525866"/>
          <w:sz w:val="22"/>
        </w:rPr>
        <w:t xml:space="preserve"> New Business Model — SNDK's multi-year supply agreements with customers featuring volume commitments, financial guarantees, and price structures designed to reduce cyclicality.</w:t>
      </w:r>
    </w:p>
    <w:p>
      <w:pPr>
        <w:pStyle w:val="ListBullet"/>
        <w:ind w:left="360" w:hanging="360"/>
      </w:pPr>
      <w:r>
        <w:rPr>
          <w:rFonts w:ascii="Calibri" w:hAnsi="Calibri"/>
          <w:b/>
          <w:color w:val="525866"/>
          <w:sz w:val="22"/>
        </w:rPr>
        <w:t>RPO:</w:t>
      </w:r>
      <w:r>
        <w:rPr>
          <w:rFonts w:ascii="Calibri" w:hAnsi="Calibri"/>
          <w:color w:val="525866"/>
          <w:sz w:val="22"/>
        </w:rPr>
        <w:t xml:space="preserve"> Remaining Performance Obligations — minimum contractual revenue from NBM agreements.</w:t>
      </w:r>
    </w:p>
    <w:p>
      <w:pPr>
        <w:pStyle w:val="ListBullet"/>
        <w:ind w:left="360" w:hanging="360"/>
      </w:pPr>
      <w:r>
        <w:rPr>
          <w:rFonts w:ascii="Calibri" w:hAnsi="Calibri"/>
          <w:b/>
          <w:color w:val="525866"/>
          <w:sz w:val="22"/>
        </w:rPr>
        <w:t>BiCS8:</w:t>
      </w:r>
      <w:r>
        <w:rPr>
          <w:rFonts w:ascii="Calibri" w:hAnsi="Calibri"/>
          <w:color w:val="525866"/>
          <w:sz w:val="22"/>
        </w:rPr>
        <w:t xml:space="preserve"> SanDisk/Kioxia's current-generation NAND technology node (wafer-bonding architecture).</w:t>
      </w:r>
    </w:p>
    <w:p>
      <w:pPr>
        <w:pStyle w:val="ListBullet"/>
        <w:ind w:left="360" w:hanging="360"/>
      </w:pPr>
      <w:r>
        <w:rPr>
          <w:rFonts w:ascii="Calibri" w:hAnsi="Calibri"/>
          <w:b/>
          <w:color w:val="525866"/>
          <w:sz w:val="22"/>
        </w:rPr>
        <w:t>QLC Stargate:</w:t>
      </w:r>
      <w:r>
        <w:rPr>
          <w:rFonts w:ascii="Calibri" w:hAnsi="Calibri"/>
          <w:color w:val="525866"/>
          <w:sz w:val="22"/>
        </w:rPr>
        <w:t xml:space="preserve"> SNDK's QLC (Quad-Level Cell) enterprise SSD product for data center/cloud customers, beginning revenue recognition in Q4 FY2026.</w:t>
      </w:r>
    </w:p>
    <w:p>
      <w:pPr>
        <w:pStyle w:val="ListBullet"/>
        <w:ind w:left="360" w:hanging="360"/>
      </w:pPr>
      <w:r>
        <w:rPr>
          <w:rFonts w:ascii="Calibri" w:hAnsi="Calibri"/>
          <w:b/>
          <w:color w:val="525866"/>
          <w:sz w:val="22"/>
        </w:rPr>
        <w:t>HBF:</w:t>
      </w:r>
      <w:r>
        <w:rPr>
          <w:rFonts w:ascii="Calibri" w:hAnsi="Calibri"/>
          <w:color w:val="525866"/>
          <w:sz w:val="22"/>
        </w:rPr>
        <w:t xml:space="preserve"> High-Bandwidth Flash — SNDK's next-generation NAND product targeting AI inference workloads; NAND die expected later in CY2026, full device (die + controller) in CY2027.</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