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solv-earnings-predictions--2026-08-05"/>
    <w:p>
      <w:pPr>
        <w:pStyle w:val="Heading1"/>
      </w:pPr>
      <w:r>
        <w:t xml:space="preserve">SOLV Earnings Predictions — 2026-08-05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SOLV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Adj. diluted EPS (Q2)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~$2.05 vs. cons $1.91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SOLV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sales (Q2, reported)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~$2.24B vs. cons $2.17B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SOLV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Adj. operating margin (Q2)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~22.7% vs. cons ~21.6%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SOLV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Adj. EPS guide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6.55</m:t>
              </m:r>
              <m:r>
                <m:rPr>
                  <m:sty m:val="p"/>
                </m:rPr>
                <m:t>−</m:t>
              </m:r>
              <m:r>
                <m:t>6.65</m:t>
              </m:r>
              <m:r>
                <m:rPr>
                  <m:sty m:val="p"/>
                </m:rPr>
                <m:t>(</m:t>
              </m:r>
              <m:r>
                <m:t>r</m:t>
              </m:r>
              <m:r>
                <m:t>a</m:t>
              </m:r>
              <m:r>
                <m:t>i</m:t>
              </m:r>
              <m:r>
                <m:t>s</m:t>
              </m:r>
              <m:r>
                <m:t>e</m:t>
              </m:r>
              <m:r>
                <m:t>d</m:t>
              </m:r>
              <m:r>
                <m:rPr>
                  <m:sty m:val="p"/>
                </m:rPr>
                <m:t>,</m:t>
              </m:r>
              <m:r>
                <m:t>t</m:t>
              </m:r>
              <m:r>
                <m:t>o</m:t>
              </m:r>
              <m:r>
                <m:t>p</m:t>
              </m:r>
              <m:r>
                <m:rPr>
                  <m:sty m:val="p"/>
                </m:rPr>
                <m:t>−</m:t>
              </m:r>
              <m:r>
                <m:t>e</m:t>
              </m:r>
              <m:r>
                <m:t>n</m:t>
              </m:r>
              <m:r>
                <m:t>d</m:t>
              </m:r>
              <m:r>
                <m:rPr>
                  <m:sty m:val="p"/>
                </m:rPr>
                <m:t>/</m:t>
              </m:r>
              <m:r>
                <m:t>a</m:t>
              </m:r>
              <m:r>
                <m:t>b</m:t>
              </m:r>
              <m:r>
                <m:t>o</m:t>
              </m:r>
              <m:r>
                <m:t>v</m:t>
              </m:r>
              <m:r>
                <m:t>e</m:t>
              </m:r>
              <m:r>
                <m:rPr>
                  <m:sty m:val="p"/>
                </m:rPr>
                <m:t>)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6.53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SOLV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organic sales growth guide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~+2.0-3.0% vs. cons ~+2.8%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SOLV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Advance-order pull-forward magnitude (H2/Q3 offset)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100</m:t>
              </m:r>
              <m:r>
                <m:rPr>
                  <m:sty m:val="p"/>
                </m:rPr>
                <m:t>−</m:t>
              </m:r>
              <m:r>
                <m:t>130</m:t>
              </m:r>
              <m:r>
                <m:t>M</m:t>
              </m:r>
              <m:r>
                <m:t>p</m:t>
              </m:r>
              <m:r>
                <m:t>u</m:t>
              </m:r>
              <m:r>
                <m:t>l</m:t>
              </m:r>
              <m:r>
                <m:t>l</m:t>
              </m:r>
              <m:r>
                <m:t>e</m:t>
              </m:r>
              <m:r>
                <m:t>d</m:t>
              </m:r>
              <m:r>
                <m:t>i</m:t>
              </m:r>
              <m:r>
                <m:t>n</m:t>
              </m:r>
              <m:r>
                <m:t>t</m:t>
              </m:r>
              <m:r>
                <m:t>o</m:t>
              </m:r>
              <m:r>
                <m:t>Q</m:t>
              </m:r>
              <m:r>
                <m:t>2</m:t>
              </m:r>
              <m:r>
                <m:rPr>
                  <m:sty m:val="p"/>
                </m:rPr>
                <m:t>,</m:t>
              </m:r>
              <m:r>
                <m:t>o</m:t>
              </m:r>
              <m:r>
                <m:t>f</m:t>
              </m:r>
              <m:r>
                <m:t>f</m:t>
              </m:r>
              <m:r>
                <m:t>s</m:t>
              </m:r>
              <m:r>
                <m:t>e</m:t>
              </m:r>
              <m:r>
                <m:t>t</m:t>
              </m:r>
              <m:r>
                <m:t>o</m:t>
              </m:r>
              <m:r>
                <m:t>u</m:t>
              </m:r>
              <m:r>
                <m:t>t</m:t>
              </m:r>
              <m:r>
                <m:t>o</m:t>
              </m:r>
              <m:r>
                <m:t>f</m:t>
              </m:r>
              <m:r>
                <m:t>H</m:t>
              </m:r>
              <m:r>
                <m:t>2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100M framing (FY26 phasing)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SOLV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free cash flow guide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200</m:t>
              </m:r>
              <m:r>
                <m:t>M</m:t>
              </m:r>
              <m:r>
                <m:rPr>
                  <m:sty m:val="p"/>
                </m:rPr>
                <m:t>(</m:t>
              </m:r>
              <m:r>
                <m:t>H</m:t>
              </m:r>
              <m:r>
                <m:t>2</m:t>
              </m:r>
              <m:r>
                <m:rPr>
                  <m:sty m:val="p"/>
                </m:rPr>
                <m:t>/</m:t>
              </m:r>
              <m:r>
                <m:t>Q</m:t>
              </m:r>
              <m:r>
                <m:t>4</m:t>
              </m:r>
              <m:r>
                <m:rPr>
                  <m:sty m:val="p"/>
                </m:rPr>
                <m:t>−</m:t>
              </m:r>
              <m:r>
                <m:t>w</m:t>
              </m:r>
              <m:r>
                <m:t>e</m:t>
              </m:r>
              <m:r>
                <m:t>i</m:t>
              </m:r>
              <m:r>
                <m:t>g</m:t>
              </m:r>
              <m:r>
                <m:t>h</m:t>
              </m:r>
              <m:r>
                <m:t>t</m:t>
              </m:r>
              <m:r>
                <m:t>e</m:t>
              </m:r>
              <m:r>
                <m:t>d</m:t>
              </m:r>
              <m:r>
                <m:rPr>
                  <m:sty m:val="p"/>
                </m:rPr>
                <m:t>)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200M (FY26)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SOLV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Q2 buyback pace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150</m:t>
              </m:r>
              <m:r>
                <m:rPr>
                  <m:sty m:val="p"/>
                </m:rPr>
                <m:t>−</m:t>
              </m:r>
              <m:r>
                <m:t>250</m:t>
              </m:r>
              <m:r>
                <m:t>M</m:t>
              </m:r>
              <m:r>
                <m:t>r</m:t>
              </m:r>
              <m:r>
                <m:t>e</m:t>
              </m:r>
              <m:r>
                <m:t>p</m:t>
              </m:r>
              <m:r>
                <m:t>u</m:t>
              </m:r>
              <m:r>
                <m:t>r</m:t>
              </m:r>
              <m:r>
                <m:t>c</m:t>
              </m:r>
              <m:r>
                <m:t>h</m:t>
              </m:r>
              <m:r>
                <m:t>a</m:t>
              </m:r>
              <m:r>
                <m:t>s</m:t>
              </m:r>
              <m:r>
                <m:t>e</m:t>
              </m:r>
              <m:r>
                <m:t>d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 </m:t>
              </m:r>
            </m:oMath>
            <w:r>
              <w:t xml:space="preserve">67M prior-Q run-rate (Q2, $1B auth live)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SOLV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SOLV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-4.0% (FADE)</w:t>
            </w:r>
          </w:p>
        </w:tc>
        <w:tc>
          <w:tcPr/>
          <w:p>
            <w:pPr>
              <w:pStyle w:val="Compact"/>
            </w:pPr>
            <w:r>
              <w:t xml:space="preserve">Headline Q2 beat is largely mechanical (&gt;</w:t>
            </w:r>
            <m:oMath>
              <m:r>
                <m:t>100</m:t>
              </m:r>
              <m:r>
                <m:t>M</m:t>
              </m:r>
              <m:r>
                <m:t>a</m:t>
              </m:r>
              <m:r>
                <m:t>d</m:t>
              </m:r>
              <m:r>
                <m:t>v</m:t>
              </m:r>
              <m:r>
                <m:t>a</m:t>
              </m:r>
              <m:r>
                <m:t>n</m:t>
              </m:r>
              <m:r>
                <m:t>c</m:t>
              </m:r>
              <m:r>
                <m:t>e</m:t>
              </m:r>
              <m:r>
                <m:rPr>
                  <m:sty m:val="p"/>
                </m:rPr>
                <m:t>−</m:t>
              </m:r>
              <m:r>
                <m:t>o</m:t>
              </m:r>
              <m:r>
                <m:t>r</m:t>
              </m:r>
              <m:r>
                <m:t>d</m:t>
              </m:r>
              <m:r>
                <m:t>e</m:t>
              </m:r>
              <m:r>
                <m:t>r</m:t>
              </m:r>
              <m:r>
                <m:t>p</m:t>
              </m:r>
              <m:r>
                <m:t>u</m:t>
              </m:r>
              <m:r>
                <m:t>l</m:t>
              </m:r>
              <m:r>
                <m:t>l</m:t>
              </m:r>
              <m:r>
                <m:rPr>
                  <m:sty m:val="p"/>
                </m:rPr>
                <m:t>−</m:t>
              </m:r>
              <m:r>
                <m:t>f</m:t>
              </m:r>
              <m:r>
                <m:t>o</m:t>
              </m:r>
              <m:r>
                <m:t>r</m:t>
              </m:r>
              <m:r>
                <m:t>w</m:t>
              </m:r>
              <m:r>
                <m:t>a</m:t>
              </m:r>
              <m:r>
                <m:t>r</m:t>
              </m:r>
              <m:r>
                <m:t>d</m:t>
              </m:r>
              <m:r>
                <m:t>d</m:t>
              </m:r>
              <m:r>
                <m:t>r</m:t>
              </m:r>
              <m:r>
                <m:t>o</m:t>
              </m:r>
              <m:r>
                <m:t>p</m:t>
              </m:r>
              <m:r>
                <m:t>p</m:t>
              </m:r>
              <m:r>
                <m:t>i</m:t>
              </m:r>
              <m:r>
                <m:t>n</m:t>
              </m:r>
              <m:r>
                <m:t>g</m:t>
              </m:r>
              <m:r>
                <m:t> </m:t>
              </m:r>
              <m:r>
                <m:t>30</m:t>
              </m:r>
            </m:oMath>
            <w:r>
              <w:t xml:space="preserve">88) after the UBS upgrade, the bar is high and the print quality (timing vs. real demand) gets scrutinized — a clean-but-non-recurring beat sets up sell-the-news, and downward Q3 revisions extend the fade over the week absent a demand-driven guide raise.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2026-08-05T01:01:40Z</dcterms:created>
  <dcterms:modified xsi:type="dcterms:W3CDTF">2026-08-05T01:01:40Z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