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ad13fa96b2969bb3f778a8303c66c727ee5aa9a"/>
    <w:p>
      <w:pPr>
        <w:pStyle w:val="Heading1"/>
      </w:pPr>
      <w:r>
        <w:t xml:space="preserve">Solventum (SOLV) — Q2 FY2026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market close, Wednesday, August 5, 2026 · Call 4:30 p.m. ET</w:t>
      </w:r>
      <w:r>
        <w:t xml:space="preserve"> </w:t>
      </w:r>
      <w:r>
        <w:rPr>
          <w:b/>
          <w:bCs/>
        </w:rPr>
        <w:t xml:space="preserve">Segments:</w:t>
      </w:r>
      <w:r>
        <w:t xml:space="preserve"> </w:t>
      </w:r>
      <w:r>
        <w:t xml:space="preserve">MedSurg (Advanced Wound Care + Infection Prevention &amp; Surgical Solutions), Dental Solutions, Health Information Systems (HIS)</w:t>
      </w:r>
    </w:p>
    <w:p>
      <w:r>
        <w:pict>
          <v:rect style="width:0;height:1.5pt" o:hralign="center" o:hrstd="t" o:hr="t"/>
        </w:pict>
      </w:r>
    </w:p>
    <w:bookmarkStart w:id="9" w:name="Xa5255e87995cd8f6c18836423cee9789cea38d7"/>
    <w:p>
      <w:pPr>
        <w:pStyle w:val="Heading2"/>
      </w:pPr>
      <w:r>
        <w:t xml:space="preserve">The one thing that matters most: read</w:t>
      </w:r>
      <w:r>
        <w:t xml:space="preserve"> </w:t>
      </w:r>
      <w:r>
        <w:rPr>
          <w:i/>
          <w:iCs/>
        </w:rPr>
        <w:t xml:space="preserve">through</w:t>
      </w:r>
      <w:r>
        <w:t xml:space="preserve"> </w:t>
      </w:r>
      <w:r>
        <w:t xml:space="preserve">the Q2 headline</w:t>
      </w:r>
    </w:p>
    <w:p>
      <w:pPr>
        <w:pStyle w:val="FirstParagraph"/>
      </w:pPr>
      <w:r>
        <w:t xml:space="preserve">This is not a normal quarter, and management has gone out of its way to tell investors so. To ease its</w:t>
      </w:r>
      <w:r>
        <w:t xml:space="preserve"> </w:t>
      </w:r>
      <w:r>
        <w:rPr>
          <w:b/>
          <w:bCs/>
        </w:rPr>
        <w:t xml:space="preserve">largest and last big ERP cutover (U.S. and Canada, planned for Q3)</w:t>
      </w:r>
      <w:r>
        <w:t xml:space="preserve">, Solventum is deliberately pulling orders forward — it guided to</w:t>
      </w:r>
      <w:r>
        <w:t xml:space="preserve"> </w:t>
      </w:r>
      <w:r>
        <w:rPr>
          <w:b/>
          <w:bCs/>
        </w:rPr>
        <w:t xml:space="preserve">over $100 million of "advance-order" sales landing in Q2 that reverse in the second half, mostly in Q3.</w:t>
      </w:r>
      <w:r>
        <w:t xml:space="preserve"> </w:t>
      </w:r>
      <w:r>
        <w:t xml:space="preserve">CFO Wayde McMillan's explicit advice on the Q1 call was blunt:</w:t>
      </w:r>
      <w:r>
        <w:t xml:space="preserve"> </w:t>
      </w:r>
      <w:r>
        <w:rPr>
          <w:i/>
          <w:iCs/>
        </w:rPr>
        <w:t xml:space="preserve">don't</w:t>
      </w:r>
      <w:r>
        <w:t xml:space="preserve"> </w:t>
      </w:r>
      <w:r>
        <w:t xml:space="preserve">model Q2 in isolation, because the pull-forward will make the quarter "substantially higher," and the company will simply mirror-image whatever the advance number turns out to be out of H2.</w:t>
      </w:r>
    </w:p>
    <w:p>
      <w:pPr>
        <w:pStyle w:val="BodyText"/>
      </w:pPr>
      <w:r>
        <w:t xml:space="preserve">Practical implications going into the print: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large reported/organic "beat" is highly likely — and largely mechanical.</w:t>
      </w:r>
      <w:r>
        <w:t xml:space="preserve"> </w:t>
      </w:r>
      <w:r>
        <w:t xml:space="preserve">The signal to hunt for is the</w:t>
      </w:r>
      <w:r>
        <w:t xml:space="preserve"> </w:t>
      </w:r>
      <w:r>
        <w:rPr>
          <w:i/>
          <w:iCs/>
        </w:rPr>
        <w:t xml:space="preserve">disclosed magnitude</w:t>
      </w:r>
      <w:r>
        <w:t xml:space="preserve"> </w:t>
      </w:r>
      <w:r>
        <w:t xml:space="preserve">of the advance orders (above or below $100M) and the corresponding cut to H2/Q3, not the headline growth rate.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full-year guide is the anchor.</w:t>
      </w:r>
      <w:r>
        <w:t xml:space="preserve"> </w:t>
      </w:r>
      <w:r>
        <w:t xml:space="preserve">Management said repeatedly that nothing changes for FY26 regardless of the phasing. If the H2 offset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fully taken out, that's a positive tell on underlying demand; if it is exactly offset, treat Q2 upside as timing.</w:t>
      </w:r>
    </w:p>
    <w:p>
      <w:pPr>
        <w:pStyle w:val="Compact"/>
        <w:numPr>
          <w:ilvl w:val="0"/>
          <w:numId w:val="1001"/>
        </w:numPr>
      </w:pPr>
      <w:r>
        <w:t xml:space="preserve">The pull-forward mostly hits</w:t>
      </w:r>
      <w:r>
        <w:t xml:space="preserve"> </w:t>
      </w:r>
      <w:r>
        <w:rPr>
          <w:b/>
          <w:bCs/>
        </w:rPr>
        <w:t xml:space="preserve">IP&amp;SS and Dental</w:t>
      </w:r>
      <w:r>
        <w:t xml:space="preserve"> </w:t>
      </w:r>
      <w:r>
        <w:t xml:space="preserve">(both heavily U.S. distribution-based), so those two lines will look artificially strong.</w:t>
      </w:r>
    </w:p>
    <w:p>
      <w:pPr>
        <w:pStyle w:val="Compact"/>
        <w:numPr>
          <w:ilvl w:val="0"/>
          <w:numId w:val="1001"/>
        </w:numPr>
      </w:pPr>
      <w:r>
        <w:t xml:space="preserve">Incremental drop-through on the ~$100M is roughly **~30% to EPS**, per management — so a chunky (but non-recurring) EPS tailwind is embedded too.</w:t>
      </w:r>
    </w:p>
    <w:p>
      <w:r>
        <w:pict>
          <v:rect style="width:0;height:1.5pt" o:hralign="center" o:hrstd="t" o:hr="t"/>
        </w:pict>
      </w:r>
    </w:p>
    <w:bookmarkEnd w:id="9"/>
    <w:bookmarkStart w:id="10" w:name="setup--expectations"/>
    <w:p>
      <w:pPr>
        <w:pStyle w:val="Heading2"/>
      </w:pPr>
      <w:r>
        <w:t xml:space="preserve">Setup /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FY25 (actual)</w:t>
            </w:r>
          </w:p>
        </w:tc>
        <w:tc>
          <w:tcPr/>
          <w:p>
            <w:pPr>
              <w:pStyle w:val="Compact"/>
            </w:pPr>
            <w:r>
              <w:t xml:space="preserve">Consensus Q2 FY26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 (reported)</w:t>
            </w:r>
          </w:p>
        </w:tc>
        <w:tc>
          <w:tcPr/>
          <w:p>
            <w:pPr>
              <w:pStyle w:val="Compact"/>
            </w:pPr>
            <w:r>
              <w:t xml:space="preserve">$2,161M</w:t>
            </w:r>
            <w:r>
              <w:t xml:space="preserve"> </w:t>
            </w:r>
            <w:r>
              <w:rPr>
                <w:i/>
                <w:iCs/>
              </w:rPr>
              <w:t xml:space="preserve">(incl. P&amp;F)</w:t>
            </w:r>
          </w:p>
        </w:tc>
        <w:tc>
          <w:tcPr/>
          <w:p>
            <w:pPr>
              <w:pStyle w:val="Compact"/>
            </w:pPr>
            <w:r>
              <w:t xml:space="preserve">~$2.17B (Zacks)</w:t>
            </w:r>
          </w:p>
        </w:tc>
        <w:tc>
          <w:tcPr/>
          <w:p>
            <w:pPr>
              <w:pStyle w:val="Compact"/>
            </w:pPr>
            <w:r>
              <w:t xml:space="preserve">Not apples-to-apples: P&amp;F was divested Sept 2025; Acera added Dec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diluted EPS</w:t>
            </w:r>
          </w:p>
        </w:tc>
        <w:tc>
          <w:tcPr/>
          <w:p>
            <w:pPr>
              <w:pStyle w:val="Compact"/>
            </w:pPr>
            <w:r>
              <w:t xml:space="preserve">$1.69</w:t>
            </w:r>
          </w:p>
        </w:tc>
        <w:tc>
          <w:tcPr/>
          <w:p>
            <w:pPr>
              <w:pStyle w:val="Compact"/>
            </w:pPr>
            <w:r>
              <w:t xml:space="preserve">~$1.91 (≈ +13% YoY)</w:t>
            </w:r>
          </w:p>
        </w:tc>
        <w:tc>
          <w:tcPr/>
          <w:p>
            <w:pPr>
              <w:pStyle w:val="Compact"/>
            </w:pPr>
            <w:r>
              <w:t xml:space="preserve">SOLV has beaten in each of the last four quarters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operating margin</w:t>
            </w:r>
          </w:p>
        </w:tc>
        <w:tc>
          <w:tcPr/>
          <w:p>
            <w:pPr>
              <w:pStyle w:val="Compact"/>
            </w:pPr>
            <w:r>
              <w:t xml:space="preserve">21.9%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Q1'26 was 19.5% (seasonal low); expect sequential step-up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gross margin</w:t>
            </w:r>
          </w:p>
        </w:tc>
        <w:tc>
          <w:tcPr/>
          <w:p>
            <w:pPr>
              <w:pStyle w:val="Compact"/>
            </w:pPr>
            <w:r>
              <w:t xml:space="preserve">56.0%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Mgmt guided ~56%/just under 56% for remaining quarters</w:t>
            </w:r>
          </w:p>
        </w:tc>
      </w:tr>
    </w:tbl>
    <w:p>
      <w:pPr>
        <w:pStyle w:val="BodyText"/>
      </w:pPr>
      <w:r>
        <w:rPr>
          <w:b/>
          <w:bCs/>
        </w:rPr>
        <w:t xml:space="preserve">Comparability caveats to flag in your model:</w:t>
      </w:r>
      <w:r>
        <w:t xml:space="preserve"> </w:t>
      </w:r>
      <w:r>
        <w:t xml:space="preserve">the year-ago quarter still included ~$252M of Purification &amp; Filtration revenue (now divested), while the current quarter carries</w:t>
      </w:r>
      <w:r>
        <w:t xml:space="preserve"> </w:t>
      </w:r>
      <w:r>
        <w:rPr>
          <w:b/>
          <w:bCs/>
        </w:rPr>
        <w:t xml:space="preserve">Acera</w:t>
      </w:r>
      <w:r>
        <w:t xml:space="preserve"> </w:t>
      </w:r>
      <w:r>
        <w:t xml:space="preserve">(contributed $28M in Q1) and an FX tailwind (~+100bps expected for the year). Reported growth will look negative; organic is the number that matters.</w:t>
      </w:r>
    </w:p>
    <w:p>
      <w:r>
        <w:pict>
          <v:rect style="width:0;height:1.5pt" o:hralign="center" o:hrstd="t" o:hr="t"/>
        </w:pict>
      </w:r>
    </w:p>
    <w:bookmarkEnd w:id="10"/>
    <w:bookmarkStart w:id="11" w:name="full-year-guidance--watch-for-a-bump"/>
    <w:p>
      <w:pPr>
        <w:pStyle w:val="Heading2"/>
      </w:pPr>
      <w:r>
        <w:t xml:space="preserve">Full-year guidance — watch for a bump</w:t>
      </w:r>
    </w:p>
    <w:p>
      <w:pPr>
        <w:pStyle w:val="FirstParagraph"/>
      </w:pPr>
      <w:r>
        <w:t xml:space="preserve">Solventum enters the print having</w:t>
      </w:r>
      <w:r>
        <w:t xml:space="preserve"> </w:t>
      </w:r>
      <w:r>
        <w:rPr>
          <w:b/>
          <w:bCs/>
        </w:rPr>
        <w:t xml:space="preserve">affirmed FY26</w:t>
      </w:r>
      <w:r>
        <w:t xml:space="preserve"> </w:t>
      </w:r>
      <w:r>
        <w:t xml:space="preserve">on the Q1 call:</w:t>
      </w:r>
    </w:p>
    <w:p>
      <w:pPr>
        <w:pStyle w:val="Compact"/>
        <w:numPr>
          <w:ilvl w:val="0"/>
          <w:numId w:val="1002"/>
        </w:numPr>
      </w:pPr>
      <w:r>
        <w:t xml:space="preserve">Organic sales</w:t>
      </w:r>
      <w:r>
        <w:t xml:space="preserve"> </w:t>
      </w:r>
      <w:r>
        <w:rPr>
          <w:b/>
          <w:bCs/>
        </w:rPr>
        <w:t xml:space="preserve">+2.0% to +3.0%</w:t>
      </w:r>
      <w:r>
        <w:t xml:space="preserve"> </w:t>
      </w:r>
      <w:r>
        <w:t xml:space="preserve">(+3.0% to +4.0% ex ~100bps of SKU-rationalization drag)</w:t>
      </w:r>
    </w:p>
    <w:p>
      <w:pPr>
        <w:pStyle w:val="Compact"/>
        <w:numPr>
          <w:ilvl w:val="0"/>
          <w:numId w:val="1002"/>
        </w:numPr>
      </w:pPr>
      <w:r>
        <w:t xml:space="preserve">Adjusted EPS</w:t>
      </w:r>
      <w:r>
        <w:t xml:space="preserve"> </w:t>
      </w:r>
      <w:r>
        <w:rPr>
          <w:b/>
          <w:bCs/>
        </w:rPr>
        <w:t xml:space="preserve">toward the high end of</w:t>
      </w:r>
      <w:r>
        <w:rPr>
          <w:b/>
          <w:bCs/>
        </w:rPr>
        <w:t xml:space="preserve"> </w:t>
      </w:r>
      <m:oMath>
        <m:r>
          <m:t>6.40</m:t>
        </m:r>
        <m:r>
          <m:rPr>
            <m:sty m:val="p"/>
          </m:rPr>
          <m:t>–</m:t>
        </m:r>
      </m:oMath>
      <w:r>
        <w:rPr>
          <w:b/>
          <w:bCs/>
        </w:rPr>
        <w:t xml:space="preserve">6.60</w:t>
      </w:r>
    </w:p>
    <w:p>
      <w:pPr>
        <w:pStyle w:val="Compact"/>
        <w:numPr>
          <w:ilvl w:val="0"/>
          <w:numId w:val="1002"/>
        </w:numPr>
      </w:pPr>
      <w:r>
        <w:t xml:space="preserve">Free cash flow</w:t>
      </w:r>
      <w:r>
        <w:t xml:space="preserve"> </w:t>
      </w:r>
      <w:r>
        <w:rPr>
          <w:b/>
          <w:bCs/>
        </w:rPr>
        <w:t xml:space="preserve">~$200M</w:t>
      </w:r>
    </w:p>
    <w:p>
      <w:pPr>
        <w:pStyle w:val="Compact"/>
        <w:numPr>
          <w:ilvl w:val="0"/>
          <w:numId w:val="1002"/>
        </w:numPr>
      </w:pPr>
      <w:r>
        <w:t xml:space="preserve">Operating margin</w:t>
      </w:r>
      <w:r>
        <w:t xml:space="preserve"> </w:t>
      </w:r>
      <w:r>
        <w:rPr>
          <w:b/>
          <w:bCs/>
        </w:rPr>
        <w:t xml:space="preserve">21.0%–21.5%</w:t>
      </w:r>
      <w:r>
        <w:t xml:space="preserve"> </w:t>
      </w:r>
      <w:r>
        <w:t xml:space="preserve">(+50–100bps YoY)</w:t>
      </w:r>
    </w:p>
    <w:p>
      <w:pPr>
        <w:pStyle w:val="FirstParagraph"/>
      </w:pPr>
      <w:r>
        <w:t xml:space="preserve">After a Q1 beat (</w:t>
      </w:r>
      <m:oMath>
        <m:r>
          <m:t>1.48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1.34 consensus) that pushed EPS to the high end, and with the Q2 pull-forward dropping ~30% through,</w:t>
      </w:r>
      <w:r>
        <w:t xml:space="preserve"> </w:t>
      </w:r>
      <w:r>
        <w:rPr>
          <w:b/>
          <w:bCs/>
        </w:rPr>
        <w:t xml:space="preserve">the debate is whether management formally raises the EPS range</w:t>
      </w:r>
      <w:r>
        <w:t xml:space="preserve"> </w:t>
      </w:r>
      <w:r>
        <w:t xml:space="preserve">(it has a history of raising through the year — it lifted FY25 guidance at both Q1 and Q2). A raise that is</w:t>
      </w:r>
      <w:r>
        <w:t xml:space="preserve"> </w:t>
      </w:r>
      <w:r>
        <w:rPr>
          <w:i/>
          <w:iCs/>
        </w:rPr>
        <w:t xml:space="preserve">only</w:t>
      </w:r>
      <w:r>
        <w:t xml:space="preserve"> </w:t>
      </w:r>
      <w:r>
        <w:t xml:space="preserve">the timing-related drop-through is lower quality than one driven by underlying demand or margins. Also watch</w:t>
      </w:r>
      <w:r>
        <w:t xml:space="preserve"> </w:t>
      </w:r>
      <w:r>
        <w:rPr>
          <w:b/>
          <w:bCs/>
        </w:rPr>
        <w:t xml:space="preserve">FCF</w:t>
      </w:r>
      <w:r>
        <w:t xml:space="preserve">, which is heavily H2/Q4-weighted this year given step-down in separation costs.</w:t>
      </w:r>
    </w:p>
    <w:p>
      <w:r>
        <w:pict>
          <v:rect style="width:0;height:1.5pt" o:hralign="center" o:hrstd="t" o:hr="t"/>
        </w:pict>
      </w:r>
    </w:p>
    <w:bookmarkEnd w:id="11"/>
    <w:bookmarkStart w:id="12" w:name="segment-watch-items"/>
    <w:p>
      <w:pPr>
        <w:pStyle w:val="Heading2"/>
      </w:pPr>
      <w:r>
        <w:t xml:space="preserve">Segment watch-items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MedSurg (largest segment):</w:t>
      </w:r>
      <w:r>
        <w:t xml:space="preserve"> </w:t>
      </w:r>
      <w:r>
        <w:t xml:space="preserve">Advanced Wound Care is the growth engine — negative-pressure wound therapy (V.A.C. Peel and Place), a specialized salesforce, and now</w:t>
      </w:r>
      <w:r>
        <w:t xml:space="preserve"> </w:t>
      </w:r>
      <w:r>
        <w:rPr>
          <w:b/>
          <w:bCs/>
        </w:rPr>
        <w:t xml:space="preserve">Acera</w:t>
      </w:r>
      <w:r>
        <w:t xml:space="preserve"> </w:t>
      </w:r>
      <w:r>
        <w:t xml:space="preserve">opening the acute-care synthetic-tissue market. Expect Acera's reported contribution to build.</w:t>
      </w:r>
      <w:r>
        <w:t xml:space="preserve"> </w:t>
      </w:r>
      <w:r>
        <w:rPr>
          <w:b/>
          <w:bCs/>
        </w:rPr>
        <w:t xml:space="preserve">IP&amp;SS faces a tough comp</w:t>
      </w:r>
      <w:r>
        <w:t xml:space="preserve"> </w:t>
      </w:r>
      <w:r>
        <w:t xml:space="preserve">(grew ~6% organically in Q2'25 on order timing) but should be flattered by the ERP pull-forward — try to separate the two.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Dental:</w:t>
      </w:r>
      <w:r>
        <w:t xml:space="preserve"> </w:t>
      </w:r>
      <w:r>
        <w:t xml:space="preserve">Back-order recovery and new products (Clarity relaunch, Filtek Easy Match, Clinpro Clear) drove +3.4% organic in Q1. This is a key pull-forward beneficiary, and comps get tougher in H2 as last year's back-order catch-up laps.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HIS:</w:t>
      </w:r>
      <w:r>
        <w:t xml:space="preserve"> </w:t>
      </w:r>
      <w:r>
        <w:t xml:space="preserve">The most consistent grower (+4.7% organic in Q1). Story =</w:t>
      </w:r>
      <w:r>
        <w:t xml:space="preserve"> </w:t>
      </w:r>
      <w:r>
        <w:rPr>
          <w:b/>
          <w:bCs/>
        </w:rPr>
        <w:t xml:space="preserve">Revenue Cycle Management + autonomous coding</w:t>
      </w:r>
      <w:r>
        <w:t xml:space="preserve"> </w:t>
      </w:r>
      <w:r>
        <w:t xml:space="preserve">(management sees ~50% of customers migrating over the strat-plan period; 80–90% of coding eventually automatable), partially offset by expected</w:t>
      </w:r>
      <w:r>
        <w:t xml:space="preserve"> </w:t>
      </w:r>
      <w:r>
        <w:rPr>
          <w:b/>
          <w:bCs/>
        </w:rPr>
        <w:t xml:space="preserve">double-digit declines in clinician productivity</w:t>
      </w:r>
      <w:r>
        <w:t xml:space="preserve">. This is the segment most exposed to the AI narrative and the highest-margin (~38% op margin in Q1).</w:t>
      </w:r>
    </w:p>
    <w:p>
      <w:r>
        <w:pict>
          <v:rect style="width:0;height:1.5pt" o:hralign="center" o:hrstd="t" o:hr="t"/>
        </w:pict>
      </w:r>
    </w:p>
    <w:bookmarkEnd w:id="12"/>
    <w:bookmarkStart w:id="13" w:name="other-things-that-can-move-the-stock"/>
    <w:p>
      <w:pPr>
        <w:pStyle w:val="Heading2"/>
      </w:pPr>
      <w:r>
        <w:t xml:space="preserve">Other things that can move the stock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Separation / ERP execution:</w:t>
      </w:r>
      <w:r>
        <w:t xml:space="preserve"> </w:t>
      </w:r>
      <w:r>
        <w:t xml:space="preserve">The Q3 U.S./Canada cutover is the biggest and last major one; a clean set-up commentary (mitigation, distributor stocking, TSA exits on track for &gt;90% by year-end) supports the de-risking thesis. Any wobble here is the main operational risk.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Unchanged</w:t>
      </w:r>
      <w:r>
        <w:t xml:space="preserve"> </w:t>
      </w:r>
      <w:r>
        <w:rPr>
          <w:b/>
          <w:bCs/>
        </w:rPr>
        <w:t xml:space="preserve">$100–120M</w:t>
      </w:r>
      <w:r>
        <w:t xml:space="preserve"> </w:t>
      </w:r>
      <w:r>
        <w:t xml:space="preserve">annual headwind; Q1 ran at the high end. Management has</w:t>
      </w:r>
      <w:r>
        <w:t xml:space="preserve"> </w:t>
      </w:r>
      <w:r>
        <w:rPr>
          <w:b/>
          <w:bCs/>
        </w:rPr>
        <w:t xml:space="preserve">not booked any tariff refunds</w:t>
      </w:r>
      <w:r>
        <w:t xml:space="preserve"> </w:t>
      </w:r>
      <w:r>
        <w:t xml:space="preserve">— a potential source of upside optionality later in the year.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allocation:</w:t>
      </w:r>
      <w:r>
        <w:t xml:space="preserve"> </w:t>
      </w:r>
      <w:r>
        <w:t xml:space="preserve">$1B buyback authorization is live (only $67M repurchased in Q1). Management hinted it would</w:t>
      </w:r>
      <w:r>
        <w:t xml:space="preserve"> </w:t>
      </w:r>
      <w:r>
        <w:rPr>
          <w:b/>
          <w:bCs/>
        </w:rPr>
        <w:t xml:space="preserve">"accelerate execution"</w:t>
      </w:r>
      <w:r>
        <w:t xml:space="preserve"> </w:t>
      </w:r>
      <w:r>
        <w:t xml:space="preserve">given the value it sees in the shares — watch the Q2 buyback figure. Also a "target-rich" tuck-in M&amp;A pipeline (Acera as the template) and portfolio optimization framed as a</w:t>
      </w:r>
      <w:r>
        <w:t xml:space="preserve"> </w:t>
      </w:r>
      <w:r>
        <w:rPr>
          <w:b/>
          <w:bCs/>
        </w:rPr>
        <w:t xml:space="preserve">"perpetual lever"</w:t>
      </w:r>
      <w:r>
        <w:t xml:space="preserve"> </w:t>
      </w:r>
      <w:r>
        <w:t xml:space="preserve">— further divestitures/deals are possible catalysts.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Net debt ~$4.5B (original $8B spin debt halved); ample flexibility for the balanced buyback-plus-M&amp;A plan.</w:t>
      </w:r>
    </w:p>
    <w:p>
      <w:r>
        <w:pict>
          <v:rect style="width:0;height:1.5pt" o:hralign="center" o:hrstd="t" o:hr="t"/>
        </w:pict>
      </w:r>
    </w:p>
    <w:bookmarkEnd w:id="13"/>
    <w:bookmarkStart w:id="14" w:name="positioning--sentiment--the-bar-is-high"/>
    <w:p>
      <w:pPr>
        <w:pStyle w:val="Heading2"/>
      </w:pPr>
      <w:r>
        <w:t xml:space="preserve">Positioning / sentiment — the bar is high</w:t>
      </w:r>
    </w:p>
    <w:p>
      <w:pPr>
        <w:pStyle w:val="FirstParagraph"/>
      </w:pPr>
      <w:r>
        <w:t xml:space="preserve">Sentiment has turned decidedly bullish into the print, which raises the hurdle:</w:t>
      </w:r>
    </w:p>
    <w:p>
      <w:pPr>
        <w:pStyle w:val="Compact"/>
        <w:numPr>
          <w:ilvl w:val="0"/>
          <w:numId w:val="1005"/>
        </w:numPr>
      </w:pPr>
      <w:r>
        <w:t xml:space="preserve">Shares closed at</w:t>
      </w:r>
      <w:r>
        <w:t xml:space="preserve"> </w:t>
      </w:r>
      <w:r>
        <w:rPr>
          <w:b/>
          <w:bCs/>
        </w:rPr>
        <w:t xml:space="preserve">~</w:t>
      </w:r>
      <m:oMath>
        <m:r>
          <m:t>88</m:t>
        </m:r>
        <m:r>
          <m:rPr>
            <m:sty m:val="p"/>
          </m:rPr>
          <m:t>(</m:t>
        </m:r>
        <m:r>
          <m:t>A</m:t>
        </m:r>
        <m:r>
          <m:t>u</m:t>
        </m:r>
        <m:r>
          <m:t>g</m:t>
        </m:r>
        <m:r>
          <m:t>4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52</m:t>
        </m:r>
        <m:r>
          <m:rPr>
            <m:sty m:val="p"/>
          </m:rPr>
          <m:t>−</m:t>
        </m:r>
        <m:r>
          <m:t>w</m:t>
        </m:r>
        <m:r>
          <m:t>e</m:t>
        </m:r>
        <m:r>
          <m:t>e</m:t>
        </m:r>
        <m:r>
          <m:t>k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t> </m:t>
        </m:r>
      </m:oMath>
      <w:r>
        <w:rPr>
          <w:b/>
          <w:bCs/>
        </w:rPr>
        <w:t xml:space="preserve">88.21</w:t>
      </w:r>
      <w:r>
        <w:t xml:space="preserve">, up from the low-$60s in late March — a ~40% run in roughly four months.</w:t>
      </w:r>
    </w:p>
    <w:p>
      <w:pPr>
        <w:pStyle w:val="Compact"/>
        <w:numPr>
          <w:ilvl w:val="0"/>
          <w:numId w:val="1005"/>
        </w:numPr>
      </w:pPr>
      <w:r>
        <w:t xml:space="preserve">The final leg was a **UBS upgrade to Buy (PT</w:t>
      </w:r>
      <w:r>
        <w:t xml:space="preserve"> </w:t>
      </w:r>
      <m:oMath>
        <m:r>
          <m:t>95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28</m:t>
        </m:r>
        <m:r>
          <m:t>t</m:t>
        </m:r>
        <m:r>
          <m:t>h</m:t>
        </m:r>
        <m:r>
          <m:t>a</m:t>
        </m:r>
        <m:r>
          <m:t>t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t> </m:t>
        </m:r>
        <m:r>
          <m:t>7</m:t>
        </m:r>
      </m:oMath>
      <w:r>
        <w:t xml:space="preserve">13.7B.</w:t>
      </w:r>
    </w:p>
    <w:p>
      <w:pPr>
        <w:pStyle w:val="Compact"/>
        <w:numPr>
          <w:ilvl w:val="0"/>
          <w:numId w:val="1005"/>
        </w:numPr>
      </w:pPr>
      <w:r>
        <w:t xml:space="preserve">Net: the stock has re-rated on the "transformation is working / accelerating toward the 4–5% LRP" narrative. That leaves</w:t>
      </w:r>
      <w:r>
        <w:t xml:space="preserve"> </w:t>
      </w:r>
      <w:r>
        <w:rPr>
          <w:b/>
          <w:bCs/>
        </w:rPr>
        <w:t xml:space="preserve">less room for error</w:t>
      </w:r>
      <w:r>
        <w:t xml:space="preserve"> </w:t>
      </w:r>
      <w:r>
        <w:t xml:space="preserve">— a clean beat may be needed just to hold the level, and the quality of the Q2 print (given the timing distortions) will be scrutinized more than the headline.</w:t>
      </w:r>
    </w:p>
    <w:p>
      <w:r>
        <w:pict>
          <v:rect style="width:0;height:1.5pt" o:hralign="center" o:hrstd="t" o:hr="t"/>
        </w:pict>
      </w:r>
    </w:p>
    <w:bookmarkEnd w:id="14"/>
    <w:bookmarkStart w:id="15" w:name="bottom-line--what-to-focus-on-august-5"/>
    <w:p>
      <w:pPr>
        <w:pStyle w:val="Heading2"/>
      </w:pPr>
      <w:r>
        <w:t xml:space="preserve">Bottom line — what to focus on August 5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Advance-order magnitude</w:t>
      </w:r>
      <w:r>
        <w:t xml:space="preserve"> </w:t>
      </w:r>
      <w:r>
        <w:t xml:space="preserve">(vs. $100M) and the exact size of the</w:t>
      </w:r>
      <w:r>
        <w:t xml:space="preserve"> </w:t>
      </w:r>
      <w:r>
        <w:rPr>
          <w:b/>
          <w:bCs/>
        </w:rPr>
        <w:t xml:space="preserve">H2/Q3 offset</w:t>
      </w:r>
      <w:r>
        <w:t xml:space="preserve"> </w:t>
      </w:r>
      <w:r>
        <w:t xml:space="preserve">— the tell on real vs. timing-driven upside.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Whether FY26 EPS guidance is raised</w:t>
      </w:r>
      <w:r>
        <w:t xml:space="preserve">, and if so,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(drop-through timing vs. underlying strength/margins).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Underlying organic growth ex pull-forward, ex SKU exits, ex Acera</w:t>
      </w:r>
      <w:r>
        <w:t xml:space="preserve"> </w:t>
      </w:r>
      <w:r>
        <w:t xml:space="preserve">— is the ramp toward the 4–5% LRP still on track across all three segments?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Q3 ERP cutover readiness</w:t>
      </w:r>
      <w:r>
        <w:t xml:space="preserve"> </w:t>
      </w:r>
      <w:r>
        <w:t xml:space="preserve">commentary (biggest operational risk of the year).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Buyback pace</w:t>
      </w:r>
      <w:r>
        <w:t xml:space="preserve"> </w:t>
      </w:r>
      <w:r>
        <w:t xml:space="preserve">and any fresh portfolio-optimization signals.</w:t>
      </w:r>
    </w:p>
    <w:p>
      <w:pPr>
        <w:pStyle w:val="FirstParagraph"/>
      </w:pPr>
      <w:r>
        <w:t xml:space="preserve">Given the four-quarter beat streak and the embedded Q2 timing tailwind, a headline beat is the base case — but with the stock at highs, the reaction likely hinges on guidance and on how "clean" management makes the through-year bridge look.</w:t>
      </w:r>
    </w:p>
    <w:p>
      <w:pPr>
        <w:pStyle w:val="BodyText"/>
      </w:pPr>
      <w:r>
        <w:rPr>
          <w:i/>
          <w:iCs/>
        </w:rPr>
        <w:t xml:space="preserve">Note: SOLV reports on a calendar-quarter basis (Q2 = quarter ended June 30, 2026). Figures above are non-GAAP/adjusted unless noted. Consensus figures are third-party estimates and may not reconcile precisely to the company's own definitions.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2026-08-05T01:01:40Z</dcterms:created>
  <dcterms:modified xsi:type="dcterms:W3CDTF">2026-08-05T01:01:40Z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