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olv-earnings-predictions--2026-08-05"/>
    <w:p>
      <w:pPr>
        <w:pStyle w:val="Heading1"/>
      </w:pPr>
      <w:r>
        <w:t xml:space="preserve">SOLV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~$2.21B vs. cons $2.17B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~$1.98 vs. cons $1.91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Sales Growth (reported, incl. ERP pull-forward)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~5.0% vs. cons ~3.5%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~$6.55 vs. cons $6.58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Organic Growth (post pull-forward reversal)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~-2% vs. cons ~+3.0% (Q3 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Operating Margin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~21.2% vs. cons ~21.2%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-5.5% (FADE)</w:t>
            </w:r>
          </w:p>
        </w:tc>
        <w:tc>
          <w:tcPr/>
          <w:p>
            <w:pPr>
              <w:pStyle w:val="Compact"/>
            </w:pPr>
            <w:r>
              <w:t xml:space="preserve">Stock has already rallied ~25-30% off spring lows and ~14% just in the two weeks pre-print (Trian stake, multiple sell-side upgrades to</w:t>
            </w:r>
            <w:r>
              <w:t xml:space="preserve"> </w:t>
            </w:r>
            <m:oMath>
              <m:r>
                <m:t>90</m:t>
              </m:r>
              <m:r>
                <m:rPr>
                  <m:sty m:val="p"/>
                </m:rPr>
                <m:t>−</m:t>
              </m:r>
              <m:r>
                <m:t>95</m:t>
              </m:r>
              <m:r>
                <m:t>P</m:t>
              </m:r>
              <m:r>
                <m:t>T</m:t>
              </m:r>
              <m:r>
                <m:t>s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,</m:t>
              </m:r>
              <m:r>
                <m:t>p</m:t>
              </m:r>
              <m:r>
                <m:t>r</m:t>
              </m:r>
              <m:r>
                <m:t>i</m:t>
              </m:r>
              <m:r>
                <m:t>c</m:t>
              </m:r>
              <m:r>
                <m:t>i</m:t>
              </m:r>
              <m:r>
                <m:t>n</m:t>
              </m:r>
              <m:r>
                <m:t>g</m:t>
              </m:r>
              <m:r>
                <m:t>i</m:t>
              </m:r>
              <m:r>
                <m:t>n</m:t>
              </m:r>
              <m:r>
                <m:t>a</m:t>
              </m:r>
              <m:r>
                <m:t>c</m:t>
              </m:r>
              <m:r>
                <m:t>l</m:t>
              </m:r>
              <m:r>
                <m:t>e</m:t>
              </m:r>
              <m:r>
                <m:t>a</m:t>
              </m:r>
              <m:r>
                <m:t>n</m:t>
              </m:r>
              <m:r>
                <m:t>b</m:t>
              </m:r>
              <m:r>
                <m:t>e</m:t>
              </m:r>
              <m:r>
                <m:t>a</m:t>
              </m:r>
              <m:r>
                <m:t>t</m:t>
              </m:r>
              <m:r>
                <m:rPr>
                  <m:sty m:val="p"/>
                </m:rPr>
                <m:t>−</m:t>
              </m:r>
              <m:r>
                <m:t>a</m:t>
              </m:r>
              <m:r>
                <m:t>n</m:t>
              </m:r>
              <m:r>
                <m:t>d</m:t>
              </m:r>
              <m:r>
                <m:rPr>
                  <m:sty m:val="p"/>
                </m:rPr>
                <m:t>−</m:t>
              </m:r>
              <m:r>
                <m:t>r</m:t>
              </m:r>
              <m:r>
                <m:t>a</m:t>
              </m:r>
              <m:r>
                <m:t>i</m:t>
              </m:r>
              <m:r>
                <m:t>s</m:t>
              </m:r>
              <m:r>
                <m:t>e</m:t>
              </m:r>
              <m:r>
                <m:rPr>
                  <m:sty m:val="p"/>
                </m:rPr>
                <m:t>.</m:t>
              </m:r>
              <m:r>
                <m:t>E</m:t>
              </m:r>
              <m:r>
                <m:t>v</m:t>
              </m:r>
              <m:r>
                <m:t>e</m:t>
              </m:r>
              <m:r>
                <m:t>n</m:t>
              </m:r>
              <m:r>
                <m:t>w</m:t>
              </m:r>
              <m:r>
                <m:t>i</m:t>
              </m:r>
              <m:r>
                <m:t>t</m:t>
              </m:r>
              <m:r>
                <m:t>h</m:t>
              </m:r>
              <m:r>
                <m:t>a</m:t>
              </m:r>
              <m:r>
                <m:t>l</m:t>
              </m:r>
              <m:r>
                <m:t>i</m:t>
              </m:r>
              <m:r>
                <m:t>k</m:t>
              </m:r>
              <m:r>
                <m:t>e</m:t>
              </m:r>
              <m:r>
                <m:t>l</m:t>
              </m:r>
              <m:r>
                <m:t>y</m:t>
              </m:r>
              <m:r>
                <m:t>E</m:t>
              </m:r>
              <m:r>
                <m:t>P</m:t>
              </m:r>
              <m:r>
                <m:t>S</m:t>
              </m:r>
              <m:r>
                <m:rPr>
                  <m:sty m:val="p"/>
                </m:rPr>
                <m:t>/</m:t>
              </m:r>
              <m:r>
                <m:t>r</m:t>
              </m:r>
              <m:r>
                <m:t>e</m:t>
              </m:r>
              <m:r>
                <m:t>v</m:t>
              </m:r>
              <m:r>
                <m:t>e</m:t>
              </m:r>
              <m:r>
                <m:t>n</m:t>
              </m:r>
              <m:r>
                <m:t>u</m:t>
              </m:r>
              <m:r>
                <m:t>e</m:t>
              </m:r>
              <m:r>
                <m:t>b</m:t>
              </m:r>
              <m:r>
                <m:t>e</m:t>
              </m:r>
              <m:r>
                <m:t>a</m:t>
              </m:r>
              <m:r>
                <m:t>t</m:t>
              </m:r>
              <m:r>
                <m:t>d</m:t>
              </m:r>
              <m:r>
                <m:t>r</m:t>
              </m:r>
              <m:r>
                <m:t>i</m:t>
              </m:r>
              <m:r>
                <m:t>v</m:t>
              </m:r>
              <m:r>
                <m:t>e</m:t>
              </m:r>
              <m:r>
                <m:t>n</m:t>
              </m:r>
              <m:r>
                <m:t>b</m:t>
              </m:r>
              <m:r>
                <m:t>y</m:t>
              </m:r>
              <m:r>
                <m:t>t</m:t>
              </m:r>
              <m:r>
                <m:t>h</m:t>
              </m:r>
              <m:r>
                <m:t>e</m:t>
              </m:r>
              <m:r>
                <m:t>p</m:t>
              </m:r>
              <m:r>
                <m:t>r</m:t>
              </m:r>
              <m:r>
                <m:t>e</m:t>
              </m:r>
              <m:r>
                <m:rPr>
                  <m:sty m:val="p"/>
                </m:rPr>
                <m:t>−</m:t>
              </m:r>
              <m:r>
                <m:t>a</m:t>
              </m:r>
              <m:r>
                <m:t>n</m:t>
              </m:r>
              <m:r>
                <m:t>n</m:t>
              </m:r>
              <m:r>
                <m:t>o</m:t>
              </m:r>
              <m:r>
                <m:t>u</m:t>
              </m:r>
              <m:r>
                <m:t>n</m:t>
              </m:r>
              <m:r>
                <m:t>c</m:t>
              </m:r>
              <m:r>
                <m:t>e</m:t>
              </m:r>
              <m:r>
                <m:t>d</m:t>
              </m:r>
              <m:r>
                <m:rPr>
                  <m:sty m:val="p"/>
                </m:rPr>
                <m:t>&gt;</m:t>
              </m:r>
            </m:oMath>
            <w:r>
              <w:t xml:space="preserve">100M ERP-related order pull-forward, that benefit is a known, one-time timing item that mechanically reverses in Q3 - sell-side models will need to explicitly cut Q3 organic growth/revenue estimates (implied ~-2% vs. prior run-rate expectations), which typically shows up as negative forward EPS revisions even after a Q2 'beat.' With guidance likely just reaffirmed (not raised) at the top of the existing $6.40-6.60 range, the bar set by the stock's run and elevated options-implied move argues for initial profit-taking on the print (Day 1) that continues to fade over the following days as analysts true-up FY2026/Q3 models for the reversal and flag the Q3 US ERP cutover as a fresh, unhedged execution risk.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2026-08-05T00:49:45Z</dcterms:created>
  <dcterms:modified xsi:type="dcterms:W3CDTF">2026-08-05T00:49:45Z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