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~8.4% vs. cons 7.7%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~$6.60 vs. cons $6.58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including ERP reversal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~$1.90B vs. cons $1.98B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 including ERP reversal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~$1.31 vs. cons $1.44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-4.8% (FOLLOW-THROUGH)</w:t>
            </w:r>
          </w:p>
        </w:tc>
        <w:tc>
          <w:tcPr/>
          <w:p>
            <w:pPr>
              <w:pStyle w:val="Compact"/>
            </w:pPr>
            <w:r>
              <w:t xml:space="preserve">The mechanical Q2 beat is likely outweighed by out-period revisions: implied Q3 adjusted EPS of ~$1.31 vs. consensus</w:t>
            </w:r>
            <w:r>
              <w:t xml:space="preserve"> </w:t>
            </w:r>
            <m:oMath>
              <m:r>
                <m:t>1.44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1.90B vs.</w:t>
            </w:r>
            <w:r>
              <w:t xml:space="preserve"> </w:t>
            </w:r>
            <m:oMath>
              <m:r>
                <m:t>1.98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i</m:t>
              </m:r>
              <m:r>
                <m:t>f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6.60 vs. consensus $6.58.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2026-08-05T00:49:57Z</dcterms:created>
  <dcterms:modified xsi:type="dcterms:W3CDTF">2026-08-05T00:49:57Z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