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3f638ce50cfa32825c85a0c9048e50fbb2050f"/>
    <w:p>
      <w:pPr>
        <w:pStyle w:val="Heading1"/>
      </w:pPr>
      <w:r>
        <w:t xml:space="preserve">Solventum (NYSE: SOLV) —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Solventum is scheduled to report</w:t>
      </w:r>
      <w:r>
        <w:t xml:space="preserve"> </w:t>
      </w:r>
      <w:r>
        <w:rPr>
          <w:b/>
          <w:bCs/>
        </w:rPr>
        <w:t xml:space="preserve">today, Wednesday, August 5, 2026</w:t>
      </w:r>
      <w:r>
        <w:t xml:space="preserve">, after the U.S. market closes—not tomorrow. The earnings call begins at</w:t>
      </w:r>
      <w:r>
        <w:t xml:space="preserve"> </w:t>
      </w:r>
      <w:r>
        <w:rPr>
          <w:b/>
          <w:bCs/>
        </w:rPr>
        <w:t xml:space="preserve">4:30 p.m. ET</w:t>
      </w:r>
      <w:r>
        <w:t xml:space="preserve">.</w:t>
      </w:r>
    </w:p>
    <w:bookmarkStart w:id="9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The headline Q2 numbers should be strong, but they will not provide a clean read on underlying demand.</w:t>
      </w:r>
    </w:p>
    <w:p>
      <w:pPr>
        <w:pStyle w:val="BodyText"/>
      </w:pPr>
      <w:r>
        <w:t xml:space="preserve">Ahead of its large U.S. and Canadian ERP conversion, Solventum expected customers and distributors to advance</w:t>
      </w:r>
      <w:r>
        <w:t xml:space="preserve"> </w:t>
      </w:r>
      <w:r>
        <w:rPr>
          <w:b/>
          <w:bCs/>
        </w:rPr>
        <w:t xml:space="preserve">more than $100 million of orders into Q2</w:t>
      </w:r>
      <w:r>
        <w:t xml:space="preserve">. Management said this would primarily benefit Infection Prevention and Surgical Solutions and Dental, with substantially all of it reversing during the second half—mostly in Q3.</w:t>
      </w:r>
    </w:p>
    <w:p>
      <w:pPr>
        <w:pStyle w:val="BodyText"/>
      </w:pPr>
      <w:r>
        <w:t xml:space="preserve">Accordingly, the most important disclosures will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exact amount of order pull-forward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growth after normalizing for that timing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expected Q3 revenue reversal and ERP-related disruption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margins can absorb tariffs and inflation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cash flow is recovering fast enough to support the $200 million full-year target</w:t>
      </w:r>
    </w:p>
    <w:p>
      <w:pPr>
        <w:pStyle w:val="FirstParagraph"/>
      </w:pPr>
      <w:r>
        <w:t xml:space="preserve">A strong headline beat accompanied by a weaker Q3 outlook would be largely mechanical. A more meaningful positive would be underlying growth above the company’s 2%–3% annual range, combined with confident execution around the ERP cutover.</w:t>
      </w:r>
    </w:p>
    <w:p>
      <w:r>
        <w:pict>
          <v:rect style="width:0;height:1.5pt" o:hralign="center" o:hrstd="t" o:hr="t"/>
        </w:pict>
      </w:r>
    </w:p>
    <w:bookmarkEnd w:id="9"/>
    <w:bookmarkStart w:id="10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Solventum entered Q2 with improving commercial momentum:</w:t>
      </w:r>
    </w:p>
    <w:p>
      <w:pPr>
        <w:pStyle w:val="Compact"/>
        <w:numPr>
          <w:ilvl w:val="0"/>
          <w:numId w:val="1002"/>
        </w:numPr>
      </w:pPr>
      <w:r>
        <w:t xml:space="preserve">Q1 organic sales increased</w:t>
      </w:r>
      <w:r>
        <w:t xml:space="preserve"> </w:t>
      </w:r>
      <w:r>
        <w:rPr>
          <w:b/>
          <w:bCs/>
        </w:rPr>
        <w:t xml:space="preserve">2.1%</w:t>
      </w:r>
      <w:r>
        <w:t xml:space="preserve"> </w:t>
      </w:r>
      <w:r>
        <w:t xml:space="preserve">despite approximately 100 basis points of SKU-rationalization pressure.</w:t>
      </w:r>
    </w:p>
    <w:p>
      <w:pPr>
        <w:pStyle w:val="Compact"/>
        <w:numPr>
          <w:ilvl w:val="0"/>
          <w:numId w:val="1002"/>
        </w:numPr>
      </w:pPr>
      <w:r>
        <w:t xml:space="preserve">Adjusted EPS increased</w:t>
      </w:r>
      <w:r>
        <w:t xml:space="preserve"> </w:t>
      </w:r>
      <w:r>
        <w:rPr>
          <w:b/>
          <w:bCs/>
        </w:rPr>
        <w:t xml:space="preserve">10.6% to $1.48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Adjusted gross margin improved 80 basis points to</w:t>
      </w:r>
      <w:r>
        <w:t xml:space="preserve"> </w:t>
      </w:r>
      <w:r>
        <w:rPr>
          <w:b/>
          <w:bCs/>
        </w:rPr>
        <w:t xml:space="preserve">56.4%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Adjusted operating margin was</w:t>
      </w:r>
      <w:r>
        <w:t xml:space="preserve"> </w:t>
      </w:r>
      <w:r>
        <w:rPr>
          <w:b/>
          <w:bCs/>
        </w:rPr>
        <w:t xml:space="preserve">19.5%</w:t>
      </w:r>
      <w:r>
        <w:t xml:space="preserve">, down 20 basis points despite tariffs and inflation.</w:t>
      </w:r>
    </w:p>
    <w:p>
      <w:pPr>
        <w:pStyle w:val="Compact"/>
        <w:numPr>
          <w:ilvl w:val="0"/>
          <w:numId w:val="1002"/>
        </w:numPr>
      </w:pPr>
      <w:r>
        <w:t xml:space="preserve">Management affirmed 2026 organic growth of</w:t>
      </w:r>
      <w:r>
        <w:t xml:space="preserve"> </w:t>
      </w:r>
      <w:r>
        <w:rPr>
          <w:b/>
          <w:bCs/>
        </w:rPr>
        <w:t xml:space="preserve">2%–3%</w:t>
      </w:r>
      <w:r>
        <w:t xml:space="preserve">, or 3%–4% excluding SKU exits.</w:t>
      </w:r>
    </w:p>
    <w:p>
      <w:pPr>
        <w:pStyle w:val="Compact"/>
        <w:numPr>
          <w:ilvl w:val="0"/>
          <w:numId w:val="1002"/>
        </w:numPr>
      </w:pPr>
      <w:r>
        <w:t xml:space="preserve">Adjusted EPS was expected toward the high end of</w:t>
      </w:r>
      <w:r>
        <w:t xml:space="preserve"> </w:t>
      </w:r>
      <m:oMath>
        <m:r>
          <m:t>6.40</m:t>
        </m:r>
        <m:r>
          <m:rPr>
            <m:sty m:val="p"/>
          </m:rPr>
          <m:t>–</m:t>
        </m:r>
      </m:oMath>
      <w:r>
        <w:rPr>
          <w:b/>
          <w:bCs/>
        </w:rPr>
        <w:t xml:space="preserve">6.60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Full-year adjusted operating margin guidance remained</w:t>
      </w:r>
      <w:r>
        <w:t xml:space="preserve"> </w:t>
      </w:r>
      <w:r>
        <w:rPr>
          <w:b/>
          <w:bCs/>
        </w:rPr>
        <w:t xml:space="preserve">21%–21.5%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Free-cash-flow guidance remained approximately</w:t>
      </w:r>
      <w:r>
        <w:t xml:space="preserve"> </w:t>
      </w:r>
      <w:r>
        <w:rPr>
          <w:b/>
          <w:bCs/>
        </w:rPr>
        <w:t xml:space="preserve">$200 million</w:t>
      </w:r>
      <w:r>
        <w:t xml:space="preserve">.</w:t>
      </w:r>
    </w:p>
    <w:p>
      <w:pPr>
        <w:pStyle w:val="FirstParagraph"/>
      </w:pPr>
      <w:r>
        <w:t xml:space="preserve">The principal weakness was cash conversion: Q1 free cash flow was</w:t>
      </w:r>
      <w:r>
        <w:t xml:space="preserve"> </w:t>
      </w:r>
      <w:r>
        <w:rPr>
          <w:b/>
          <w:bCs/>
        </w:rPr>
        <w:t xml:space="preserve">negative</w:t>
      </w:r>
      <w:r>
        <w:rPr>
          <w:b/>
          <w:bCs/>
        </w:rPr>
        <w:t xml:space="preserve"> </w:t>
      </w:r>
      <m:oMath>
        <m:r>
          <m:t>273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e</m:t>
        </m:r>
        <m:r>
          <m:t>f</m:t>
        </m:r>
        <m:r>
          <m:t>l</m:t>
        </m:r>
        <m:r>
          <m:t>e</m:t>
        </m:r>
        <m:r>
          <m:t>c</m:t>
        </m:r>
        <m:r>
          <m:t>t</m:t>
        </m:r>
        <m:r>
          <m:t>i</m:t>
        </m:r>
        <m:r>
          <m:t>n</m:t>
        </m:r>
        <m:r>
          <m:t>g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rPr>
            <m:sty m:val="p"/>
          </m:rPr>
          <m:t>,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−</m:t>
        </m:r>
        <m:r>
          <m:t>a</m:t>
        </m:r>
        <m:r>
          <m:t>g</m:t>
        </m:r>
        <m:r>
          <m:t>r</m:t>
        </m:r>
        <m:r>
          <m:t>e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e</m:t>
        </m:r>
        <m:r>
          <m:t>x</m:t>
        </m:r>
        <m:r>
          <m:t>i</m:t>
        </m:r>
        <m:r>
          <m:t>t</m:t>
        </m:r>
        <m:r>
          <m:t>p</m:t>
        </m:r>
        <m:r>
          <m:t>a</m:t>
        </m:r>
        <m:r>
          <m:t>y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n</m:t>
        </m:r>
        <m:r>
          <m:t>d</m:t>
        </m:r>
        <m:r>
          <m:t>n</m:t>
        </m:r>
        <m:r>
          <m:t>o</m:t>
        </m:r>
        <m:r>
          <m:t>r</m:t>
        </m:r>
        <m:r>
          <m:t>m</m:t>
        </m:r>
        <m:r>
          <m:t>a</m:t>
        </m:r>
        <m:r>
          <m:t>l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i</m:t>
        </m:r>
        <m:r>
          <m:t>t</m:t>
        </m:r>
        <m:r>
          <m:t>y</m:t>
        </m:r>
        <m:r>
          <m:rPr>
            <m:sty m:val="p"/>
          </m:rPr>
          <m:t>.</m:t>
        </m:r>
        <m:r>
          <m:t>S</m:t>
        </m:r>
        <m:r>
          <m:t>o</m:t>
        </m:r>
        <m:r>
          <m:t>l</m:t>
        </m:r>
        <m:r>
          <m:t>v</m:t>
        </m:r>
        <m:r>
          <m:t>e</m:t>
        </m:r>
        <m:r>
          <m:t>n</m:t>
        </m:r>
        <m:r>
          <m:t>t</m:t>
        </m:r>
        <m:r>
          <m:t>u</m:t>
        </m:r>
        <m:r>
          <m:t>m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473 million of positive free cash flow over the final three quarters</w:t>
      </w:r>
      <w:r>
        <w:t xml:space="preserve"> </w:t>
      </w:r>
      <w:r>
        <w:t xml:space="preserve">to reach its annual target.</w:t>
      </w:r>
    </w:p>
    <w:p>
      <w:pPr>
        <w:pStyle w:val="BodyText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$87.96 on August 4</w:t>
      </w:r>
      <w:r>
        <w:t xml:space="preserve">, up approximately 11% year to date and about 30% since the day before the Q1 report. At that price it trades near</w:t>
      </w:r>
      <w:r>
        <w:t xml:space="preserve"> </w:t>
      </w:r>
      <w:r>
        <w:rPr>
          <w:b/>
          <w:bCs/>
        </w:rPr>
        <w:t xml:space="preserve">13.3 times</w:t>
      </w:r>
      <w:r>
        <w:t xml:space="preserve"> </w:t>
      </w:r>
      <w:r>
        <w:t xml:space="preserve">the high end of 2026 adjusted EPS guidance. The valuation is not demanding, but the recent rally raises the bar for a favorable reaction.</w:t>
      </w:r>
    </w:p>
    <w:p>
      <w:r>
        <w:pict>
          <v:rect style="width:0;height:1.5pt" o:hralign="center" o:hrstd="t" o:hr="t"/>
        </w:pict>
      </w:r>
    </w:p>
    <w:bookmarkEnd w:id="10"/>
    <w:bookmarkStart w:id="11" w:name="what-to-expect-from-q2"/>
    <w:p>
      <w:pPr>
        <w:pStyle w:val="Heading2"/>
      </w:pPr>
      <w:r>
        <w:t xml:space="preserve">What to expect from Q2</w:t>
      </w:r>
    </w:p>
    <w:p>
      <w:pPr>
        <w:pStyle w:val="FirstParagraph"/>
      </w:pPr>
      <w:r>
        <w:t xml:space="preserve">These are analytical expectations rather than current consensus estimates.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What matters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Reported revenue</w:t>
            </w:r>
          </w:p>
        </w:tc>
        <w:tc>
          <w:tcPr/>
          <w:p>
            <w:pPr>
              <w:pStyle w:val="Compact"/>
            </w:pPr>
            <w:r>
              <w:t xml:space="preserve">Likely around the low-$2 billion area. Comparison with Q2 2025’s $2.16 billion is distorted by the September 2025 sale of most of Purification and Filtration.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Could appear unusually strong—potentially high single digits—because more than $100 million of sales were expected to move into Q2. Underlying growth excluding timing is more important.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Should improve from Q1’s $1.48 and likely exceed Q2 2025’s $1.69, helped by pull-forward revenue, lower interest expense and cost savings.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Adjusted gross margin</w:t>
            </w:r>
          </w:p>
        </w:tc>
        <w:tc>
          <w:tcPr/>
          <w:p>
            <w:pPr>
              <w:pStyle w:val="Compact"/>
            </w:pPr>
            <w:r>
              <w:t xml:space="preserve">Management previously pointed to approximately 56% for the remaining quarters, slightly below Q1’s 56.4%.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Should increase sequentially from Q1’s seasonally low 19.5%, helped by lower operating expenses and revenue leverage.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Should improve materially from negative $273 million, although management has identified Q4 as the strongest cash-flow quarter.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Guidance</w:t>
            </w:r>
          </w:p>
        </w:tc>
        <w:tc>
          <w:tcPr/>
          <w:p>
            <w:pPr>
              <w:pStyle w:val="Compact"/>
            </w:pPr>
            <w:r>
              <w:t xml:space="preserve">A reiteration with EPS still “toward the high end” is the base case. The market may want either an explicit EPS increase or stronger confidence around normalized growth and cash flow.</w:t>
            </w:r>
          </w:p>
        </w:tc>
      </w:tr>
    </w:tbl>
    <w:p>
      <w:pPr>
        <w:pStyle w:val="BodyText"/>
      </w:pPr>
      <w:r>
        <w:t xml:space="preserve">One useful sensitivity provided by management: it indicated that the incremental Q2 sales could have roughly</w:t>
      </w:r>
      <w:r>
        <w:t xml:space="preserve"> </w:t>
      </w:r>
      <w:r>
        <w:rPr>
          <w:b/>
          <w:bCs/>
        </w:rPr>
        <w:t xml:space="preserve">30% profit drop-through</w:t>
      </w:r>
      <w:r>
        <w:t xml:space="preserve"> </w:t>
      </w:r>
      <w:r>
        <w:t xml:space="preserve">before tax. Thus, a large portion of any Q2 EPS upside may simply reverse with the revenue in Q3.</w:t>
      </w:r>
    </w:p>
    <w:p>
      <w:r>
        <w:pict>
          <v:rect style="width:0;height:1.5pt" o:hralign="center" o:hrstd="t" o:hr="t"/>
        </w:pict>
      </w:r>
    </w:p>
    <w:bookmarkEnd w:id="11"/>
    <w:bookmarkStart w:id="12" w:name="X47bfdec38fab867d6fcea088074fdb3d31e1a1e"/>
    <w:p>
      <w:pPr>
        <w:pStyle w:val="Heading2"/>
      </w:pPr>
      <w:r>
        <w:t xml:space="preserve">The central issue: separating growth from order timing</w:t>
      </w:r>
    </w:p>
    <w:p>
      <w:pPr>
        <w:pStyle w:val="FirstParagraph"/>
      </w:pPr>
      <w:r>
        <w:t xml:space="preserve">Management previously described three different timing effects:</w:t>
      </w:r>
    </w:p>
    <w:p>
      <w:pPr>
        <w:pStyle w:val="Compact"/>
        <w:numPr>
          <w:ilvl w:val="0"/>
          <w:numId w:val="1003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70 basis points of sales moved from Q2 into Q1</w:t>
      </w:r>
      <w:r>
        <w:t xml:space="preserve">, primarily due to SKU exits and separation-related registration changes.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More than $100 million was expected to move from the second half into Q2</w:t>
      </w:r>
      <w:r>
        <w:t xml:space="preserve"> </w:t>
      </w:r>
      <w:r>
        <w:t xml:space="preserve">ahead of the U.S./Canada ERP conversion.</w:t>
      </w:r>
    </w:p>
    <w:p>
      <w:pPr>
        <w:pStyle w:val="Compact"/>
        <w:numPr>
          <w:ilvl w:val="0"/>
          <w:numId w:val="1003"/>
        </w:numPr>
      </w:pPr>
      <w:r>
        <w:t xml:space="preserve">The latter amount should reverse during 2026,</w:t>
      </w:r>
      <w:r>
        <w:t xml:space="preserve"> </w:t>
      </w:r>
      <w:r>
        <w:rPr>
          <w:b/>
          <w:bCs/>
        </w:rPr>
        <w:t xml:space="preserve">mostly in Q3</w:t>
      </w:r>
      <w:r>
        <w:t xml:space="preserve">.</w:t>
      </w:r>
    </w:p>
    <w:p>
      <w:pPr>
        <w:pStyle w:val="FirstParagraph"/>
      </w:pPr>
      <w:r>
        <w:t xml:space="preserve">Investors should therefore focus on a normalized bridge:</w:t>
      </w:r>
    </w:p>
    <w:p>
      <w:pPr>
        <w:pStyle w:val="BlockText"/>
      </w:pPr>
      <w:r>
        <w:t xml:space="preserve">Reported Q2 organic growth</w:t>
      </w:r>
      <w:r>
        <w:br/>
      </w:r>
      <w:r>
        <w:rPr>
          <w:b/>
          <w:bCs/>
        </w:rPr>
        <w:t xml:space="preserve">less:</w:t>
      </w:r>
      <w:r>
        <w:t xml:space="preserve"> </w:t>
      </w:r>
      <w:r>
        <w:t xml:space="preserve">ERP-related distributor stocking</w:t>
      </w:r>
      <w:r>
        <w:br/>
      </w:r>
      <w:r>
        <w:rPr>
          <w:b/>
          <w:bCs/>
        </w:rPr>
        <w:t xml:space="preserve">plus:</w:t>
      </w:r>
      <w:r>
        <w:t xml:space="preserve"> </w:t>
      </w:r>
      <w:r>
        <w:t xml:space="preserve">sales previously moved from Q2 into Q1</w:t>
      </w:r>
      <w:r>
        <w:br/>
      </w:r>
      <w:r>
        <w:rPr>
          <w:b/>
          <w:bCs/>
        </w:rPr>
        <w:t xml:space="preserve">equals:</w:t>
      </w:r>
      <w:r>
        <w:t xml:space="preserve"> </w:t>
      </w:r>
      <w:r>
        <w:t xml:space="preserve">a better measure of underlying Q2 demand</w:t>
      </w:r>
    </w:p>
    <w:p>
      <w:pPr>
        <w:pStyle w:val="FirstParagraph"/>
      </w:pPr>
      <w:r>
        <w:t xml:space="preserve">Management said after Q1 that, apart from these timing effects, momentum should remain within or potentially improve upon the 2%–3% annual organic-growth range. If normalized Q2 growth is closer to 3%–4%, the result would support Solventum’s long-term goal of reaching 4%–5% organic growth. A result closer to 1%–2% would suggest the headline quarter is masking slower underlying demand.</w:t>
      </w:r>
    </w:p>
    <w:p>
      <w:r>
        <w:pict>
          <v:rect style="width:0;height:1.5pt" o:hralign="center" o:hrstd="t" o:hr="t"/>
        </w:pict>
      </w:r>
    </w:p>
    <w:bookmarkEnd w:id="12"/>
    <w:bookmarkStart w:id="16" w:name="segment-preview"/>
    <w:p>
      <w:pPr>
        <w:pStyle w:val="Heading2"/>
      </w:pPr>
      <w:r>
        <w:t xml:space="preserve">Segment preview</w:t>
      </w:r>
    </w:p>
    <w:bookmarkStart w:id="13" w:name="X63ecda54dcece63f3903b61f6e8a273169ebe8a"/>
    <w:p>
      <w:pPr>
        <w:pStyle w:val="Heading3"/>
      </w:pPr>
      <w:r>
        <w:t xml:space="preserve">1. MedSurg: margin recovery is as important as growth</w:t>
      </w:r>
    </w:p>
    <w:p>
      <w:pPr>
        <w:pStyle w:val="FirstParagraph"/>
      </w:pPr>
      <w:r>
        <w:t xml:space="preserve">MedSurg accounts for more than 60% of sales and remains the largest swing factor.</w:t>
      </w:r>
    </w:p>
    <w:p>
      <w:pPr>
        <w:pStyle w:val="BodyText"/>
      </w:pPr>
      <w:r>
        <w:t xml:space="preserve">Q1 organic growth was only</w:t>
      </w:r>
      <w:r>
        <w:t xml:space="preserve"> </w:t>
      </w:r>
      <w:r>
        <w:rPr>
          <w:b/>
          <w:bCs/>
        </w:rPr>
        <w:t xml:space="preserve">1.2%</w:t>
      </w:r>
      <w:r>
        <w:t xml:space="preserve">, consisting of:</w:t>
      </w:r>
    </w:p>
    <w:p>
      <w:pPr>
        <w:pStyle w:val="Compact"/>
        <w:numPr>
          <w:ilvl w:val="0"/>
          <w:numId w:val="1004"/>
        </w:numPr>
      </w:pPr>
      <w:r>
        <w:t xml:space="preserve">Advanced Wound Care:</w:t>
      </w:r>
      <w:r>
        <w:t xml:space="preserve"> </w:t>
      </w:r>
      <w:r>
        <w:rPr>
          <w:b/>
          <w:bCs/>
        </w:rPr>
        <w:t xml:space="preserve">2.1%</w:t>
      </w:r>
    </w:p>
    <w:p>
      <w:pPr>
        <w:pStyle w:val="Compact"/>
        <w:numPr>
          <w:ilvl w:val="0"/>
          <w:numId w:val="1004"/>
        </w:numPr>
      </w:pPr>
      <w:r>
        <w:t xml:space="preserve">Infection Prevention and Surgical Solutions:</w:t>
      </w:r>
      <w:r>
        <w:t xml:space="preserve"> </w:t>
      </w:r>
      <w:r>
        <w:rPr>
          <w:b/>
          <w:bCs/>
        </w:rPr>
        <w:t xml:space="preserve">0.6%</w:t>
      </w:r>
    </w:p>
    <w:p>
      <w:pPr>
        <w:pStyle w:val="FirstParagraph"/>
      </w:pPr>
      <w:r>
        <w:t xml:space="preserve">The underlying drivers were encouraging: negative-pressure wound therapy, Tegaderm CHG, improved commercial specialization and Acera Surgical. However, MedSurg’s segment margin fell from 17.8% to</w:t>
      </w:r>
      <w:r>
        <w:t xml:space="preserve"> </w:t>
      </w:r>
      <w:r>
        <w:rPr>
          <w:b/>
          <w:bCs/>
        </w:rPr>
        <w:t xml:space="preserve">13.1%</w:t>
      </w:r>
      <w:r>
        <w:t xml:space="preserve">, primarily because of tariffs, inflation and freight costs.</w:t>
      </w:r>
    </w:p>
    <w:p>
      <w:pPr>
        <w:pStyle w:val="BodyText"/>
      </w:pPr>
      <w:r>
        <w:t xml:space="preserve">Q2 will be complicated by substantial pre-ordering in Infection Prevention and Surgical Solutions. Investors should look for:</w:t>
      </w:r>
    </w:p>
    <w:p>
      <w:pPr>
        <w:pStyle w:val="Compact"/>
        <w:numPr>
          <w:ilvl w:val="0"/>
          <w:numId w:val="1005"/>
        </w:numPr>
      </w:pPr>
      <w:r>
        <w:t xml:space="preserve">Growth excluding advanced distributor orders</w:t>
      </w:r>
    </w:p>
    <w:p>
      <w:pPr>
        <w:pStyle w:val="Compact"/>
        <w:numPr>
          <w:ilvl w:val="0"/>
          <w:numId w:val="1005"/>
        </w:numPr>
      </w:pPr>
      <w:r>
        <w:t xml:space="preserve">Continued negative-pressure wound-therapy momentum</w:t>
      </w:r>
    </w:p>
    <w:p>
      <w:pPr>
        <w:pStyle w:val="Compact"/>
        <w:numPr>
          <w:ilvl w:val="0"/>
          <w:numId w:val="1005"/>
        </w:numPr>
      </w:pPr>
      <w:r>
        <w:t xml:space="preserve">Acera sales and integration progress</w:t>
      </w:r>
    </w:p>
    <w:p>
      <w:pPr>
        <w:pStyle w:val="Compact"/>
        <w:numPr>
          <w:ilvl w:val="0"/>
          <w:numId w:val="1005"/>
        </w:numPr>
      </w:pPr>
      <w:r>
        <w:t xml:space="preserve">Recovery in MedSurg operating margin</w:t>
      </w:r>
    </w:p>
    <w:p>
      <w:pPr>
        <w:pStyle w:val="Compact"/>
        <w:numPr>
          <w:ilvl w:val="0"/>
          <w:numId w:val="1005"/>
        </w:numPr>
      </w:pPr>
      <w:r>
        <w:t xml:space="preserve">Evidence that savings are offsetting tariffs rather than merely shifting costs between quarters</w:t>
      </w:r>
    </w:p>
    <w:p>
      <w:pPr>
        <w:pStyle w:val="FirstParagraph"/>
      </w:pPr>
      <w:r>
        <w:t xml:space="preserve">Acera contributed $28 million of Q1 revenue and should become a larger reported-growth contributor as the year progresses.</w:t>
      </w:r>
    </w:p>
    <w:bookmarkEnd w:id="13"/>
    <w:bookmarkStart w:id="14" w:name="X66471d55d6b8f0074b1abbe27996b958d0b0370"/>
    <w:p>
      <w:pPr>
        <w:pStyle w:val="Heading3"/>
      </w:pPr>
      <w:r>
        <w:t xml:space="preserve">2. Dental: strong momentum, but a difficult comparison is coming</w:t>
      </w:r>
    </w:p>
    <w:p>
      <w:pPr>
        <w:pStyle w:val="FirstParagraph"/>
      </w:pPr>
      <w:r>
        <w:t xml:space="preserve">Dental produced one of the cleaner Q1 results:</w:t>
      </w:r>
    </w:p>
    <w:p>
      <w:pPr>
        <w:pStyle w:val="Compact"/>
        <w:numPr>
          <w:ilvl w:val="0"/>
          <w:numId w:val="1006"/>
        </w:numPr>
      </w:pPr>
      <w:r>
        <w:t xml:space="preserve">Organic growth:</w:t>
      </w:r>
      <w:r>
        <w:t xml:space="preserve"> </w:t>
      </w:r>
      <w:r>
        <w:rPr>
          <w:b/>
          <w:bCs/>
        </w:rPr>
        <w:t xml:space="preserve">3.4%</w:t>
      </w:r>
    </w:p>
    <w:p>
      <w:pPr>
        <w:pStyle w:val="Compact"/>
        <w:numPr>
          <w:ilvl w:val="0"/>
          <w:numId w:val="1006"/>
        </w:numPr>
      </w:pPr>
      <w:r>
        <w:t xml:space="preserve">Segment operating margin:</w:t>
      </w:r>
      <w:r>
        <w:t xml:space="preserve"> </w:t>
      </w:r>
      <w:r>
        <w:rPr>
          <w:b/>
          <w:bCs/>
        </w:rPr>
        <w:t xml:space="preserve">24.5%</w:t>
      </w:r>
      <w:r>
        <w:t xml:space="preserve">, up 60 basis points</w:t>
      </w:r>
    </w:p>
    <w:p>
      <w:pPr>
        <w:pStyle w:val="FirstParagraph"/>
      </w:pPr>
      <w:r>
        <w:t xml:space="preserve">Growth was supported by restorative products and launches including Filtek Easy Match and Clinpro Clear, while improved back orders helped customer service.</w:t>
      </w:r>
    </w:p>
    <w:p>
      <w:pPr>
        <w:pStyle w:val="BodyText"/>
      </w:pPr>
      <w:r>
        <w:t xml:space="preserve">Dental is also expected to be a major beneficiary of Q2 pre-ordering. The key distinction is between genuine product and commercial momentum versus inventory placed with distributors ahead of the ERP conversion.</w:t>
      </w:r>
    </w:p>
    <w:p>
      <w:pPr>
        <w:pStyle w:val="BodyText"/>
      </w:pPr>
      <w:r>
        <w:t xml:space="preserve">Investors should also expect a more difficult second-half comparison because Dental’s supply and back-order performance improved significantly during late 2025.</w:t>
      </w:r>
    </w:p>
    <w:bookmarkEnd w:id="14"/>
    <w:bookmarkStart w:id="15" w:name="Xb53767725c8416aae8bf37dcb7c4fb0a315b6e8"/>
    <w:p>
      <w:pPr>
        <w:pStyle w:val="Heading3"/>
      </w:pPr>
      <w:r>
        <w:t xml:space="preserve">3. Health Information Systems: the cleanest demand indicator</w:t>
      </w:r>
    </w:p>
    <w:p>
      <w:pPr>
        <w:pStyle w:val="FirstParagraph"/>
      </w:pPr>
      <w:r>
        <w:t xml:space="preserve">HIS may offer the best read on underlying company momentum because it is less exposed to distributor stocking.</w:t>
      </w:r>
    </w:p>
    <w:p>
      <w:pPr>
        <w:pStyle w:val="BodyText"/>
      </w:pPr>
      <w:r>
        <w:t xml:space="preserve">Q1 results included:</w:t>
      </w:r>
    </w:p>
    <w:p>
      <w:pPr>
        <w:pStyle w:val="Compact"/>
        <w:numPr>
          <w:ilvl w:val="0"/>
          <w:numId w:val="1007"/>
        </w:numPr>
      </w:pPr>
      <w:r>
        <w:t xml:space="preserve">Organic growth:</w:t>
      </w:r>
      <w:r>
        <w:t xml:space="preserve"> </w:t>
      </w:r>
      <w:r>
        <w:rPr>
          <w:b/>
          <w:bCs/>
        </w:rPr>
        <w:t xml:space="preserve">4.7%</w:t>
      </w:r>
    </w:p>
    <w:p>
      <w:pPr>
        <w:pStyle w:val="Compact"/>
        <w:numPr>
          <w:ilvl w:val="0"/>
          <w:numId w:val="1007"/>
        </w:numPr>
      </w:pPr>
      <w:r>
        <w:t xml:space="preserve">Segment operating margin:</w:t>
      </w:r>
      <w:r>
        <w:t xml:space="preserve"> </w:t>
      </w:r>
      <w:r>
        <w:rPr>
          <w:b/>
          <w:bCs/>
        </w:rPr>
        <w:t xml:space="preserve">38.1%</w:t>
      </w:r>
      <w:r>
        <w:t xml:space="preserve">, up 500 basis points</w:t>
      </w:r>
    </w:p>
    <w:p>
      <w:pPr>
        <w:pStyle w:val="FirstParagraph"/>
      </w:pPr>
      <w:r>
        <w:t xml:space="preserve">Revenue Cycle Management, autonomous coding and Performance Management remained strong, while Clinician Productivity Solutions continued to decline at a double-digit rate.</w:t>
      </w:r>
    </w:p>
    <w:p>
      <w:pPr>
        <w:pStyle w:val="BodyText"/>
      </w:pPr>
      <w:r>
        <w:t xml:space="preserve">Key questions include:</w:t>
      </w:r>
    </w:p>
    <w:p>
      <w:pPr>
        <w:pStyle w:val="Compact"/>
        <w:numPr>
          <w:ilvl w:val="0"/>
          <w:numId w:val="1008"/>
        </w:numPr>
      </w:pPr>
      <w:r>
        <w:t xml:space="preserve">Is autonomous coding converting backlog into revenue faster?</w:t>
      </w:r>
    </w:p>
    <w:p>
      <w:pPr>
        <w:pStyle w:val="Compact"/>
        <w:numPr>
          <w:ilvl w:val="0"/>
          <w:numId w:val="1008"/>
        </w:numPr>
      </w:pPr>
      <w:r>
        <w:t xml:space="preserve">Is international expansion becoming material?</w:t>
      </w:r>
    </w:p>
    <w:p>
      <w:pPr>
        <w:pStyle w:val="Compact"/>
        <w:numPr>
          <w:ilvl w:val="0"/>
          <w:numId w:val="1008"/>
        </w:numPr>
      </w:pPr>
      <w:r>
        <w:t xml:space="preserve">Can HIS sustain mid-single-digit organic growth?</w:t>
      </w:r>
    </w:p>
    <w:p>
      <w:pPr>
        <w:pStyle w:val="Compact"/>
        <w:numPr>
          <w:ilvl w:val="0"/>
          <w:numId w:val="1008"/>
        </w:numPr>
      </w:pPr>
      <w:r>
        <w:t xml:space="preserve">Is the decline in Clinician Productivity stabilizing?</w:t>
      </w:r>
    </w:p>
    <w:p>
      <w:pPr>
        <w:pStyle w:val="Compact"/>
        <w:numPr>
          <w:ilvl w:val="0"/>
          <w:numId w:val="1008"/>
        </w:numPr>
      </w:pPr>
      <w:r>
        <w:t xml:space="preserve">How quickly are customers migrating from assisted to fully autonomous coding?</w:t>
      </w:r>
    </w:p>
    <w:p>
      <w:pPr>
        <w:pStyle w:val="FirstParagraph"/>
      </w:pPr>
      <w:r>
        <w:t xml:space="preserve">Management has said it believes close to half of relevant customers could migrate toward autonomous coding during its strategic-plan period. Sustained HIS growth above 4% would strengthen the case that the segment deserves a higher valuation than Solventum’s product businesses.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margin-and-tariff-watch"/>
    <w:p>
      <w:pPr>
        <w:pStyle w:val="Heading2"/>
      </w:pPr>
      <w:r>
        <w:t xml:space="preserve">Margin and tariff watch</w:t>
      </w:r>
    </w:p>
    <w:p>
      <w:pPr>
        <w:pStyle w:val="FirstParagraph"/>
      </w:pPr>
      <w:r>
        <w:t xml:space="preserve">Solventum estimated an annual tariff headwind of</w:t>
      </w:r>
      <w:r>
        <w:t xml:space="preserve"> </w:t>
      </w:r>
      <m:oMath>
        <m:r>
          <m:t>100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120 million</w:t>
      </w:r>
      <w:r>
        <w:t xml:space="preserve"> </w:t>
      </w:r>
      <w:r>
        <w:t xml:space="preserve">and said Q1 was tracking near the high end of that annualized range. It nevertheless maintained its objective of 50–100 basis points of adjusted operating-margin expansion in 2026.</w:t>
      </w:r>
    </w:p>
    <w:p>
      <w:pPr>
        <w:pStyle w:val="BodyText"/>
      </w:pPr>
      <w:r>
        <w:t xml:space="preserve">The offsetting levers include:</w:t>
      </w:r>
    </w:p>
    <w:p>
      <w:pPr>
        <w:pStyle w:val="Compact"/>
        <w:numPr>
          <w:ilvl w:val="0"/>
          <w:numId w:val="1009"/>
        </w:numPr>
      </w:pPr>
      <w:r>
        <w:t xml:space="preserve">Transform for the Future savings</w:t>
      </w:r>
    </w:p>
    <w:p>
      <w:pPr>
        <w:pStyle w:val="Compact"/>
        <w:numPr>
          <w:ilvl w:val="0"/>
          <w:numId w:val="1009"/>
        </w:numPr>
      </w:pPr>
      <w:r>
        <w:t xml:space="preserve">Programmatic supply-chain savings</w:t>
      </w:r>
    </w:p>
    <w:p>
      <w:pPr>
        <w:pStyle w:val="Compact"/>
        <w:numPr>
          <w:ilvl w:val="0"/>
          <w:numId w:val="1009"/>
        </w:numPr>
      </w:pPr>
      <w:r>
        <w:t xml:space="preserve">Improved product mix</w:t>
      </w:r>
    </w:p>
    <w:p>
      <w:pPr>
        <w:pStyle w:val="Compact"/>
        <w:numPr>
          <w:ilvl w:val="0"/>
          <w:numId w:val="1009"/>
        </w:numPr>
      </w:pPr>
      <w:r>
        <w:t xml:space="preserve">The exit from Purification and Filtration</w:t>
      </w:r>
    </w:p>
    <w:p>
      <w:pPr>
        <w:pStyle w:val="Compact"/>
        <w:numPr>
          <w:ilvl w:val="0"/>
          <w:numId w:val="1009"/>
        </w:numPr>
      </w:pPr>
      <w:r>
        <w:t xml:space="preserve">Lower operating expenses after Q1</w:t>
      </w:r>
    </w:p>
    <w:p>
      <w:pPr>
        <w:pStyle w:val="Compact"/>
        <w:numPr>
          <w:ilvl w:val="0"/>
          <w:numId w:val="1009"/>
        </w:numPr>
      </w:pPr>
      <w:r>
        <w:t xml:space="preserve">Revenue leverage</w:t>
      </w:r>
    </w:p>
    <w:p>
      <w:pPr>
        <w:pStyle w:val="Compact"/>
        <w:numPr>
          <w:ilvl w:val="0"/>
          <w:numId w:val="1009"/>
        </w:numPr>
      </w:pPr>
      <w:r>
        <w:t xml:space="preserve">Pricing, although management has characterized pricing as roughly plus or minus 1%</w:t>
      </w:r>
    </w:p>
    <w:p>
      <w:pPr>
        <w:pStyle w:val="FirstParagraph"/>
      </w:pPr>
      <w:r>
        <w:t xml:space="preserve">A gross margin near 56% would be consistent with prior commentary. A materially weaker figure would imply that tariff and inflation pressure is outrunning savings; a result near or above Q1’s 56.4% would be a meaningful positive.</w:t>
      </w:r>
    </w:p>
    <w:p>
      <w:pPr>
        <w:pStyle w:val="BodyText"/>
      </w:pPr>
      <w:r>
        <w:t xml:space="preserve">Solventum had not recognized any potential tariff refunds as of Q1 because the timing and amount remained uncertain. Investors should treat any refund-related benefit separately from recurring operational performance.</w:t>
      </w:r>
    </w:p>
    <w:p>
      <w:r>
        <w:pict>
          <v:rect style="width:0;height:1.5pt" o:hralign="center" o:hrstd="t" o:hr="t"/>
        </w:pict>
      </w:r>
    </w:p>
    <w:bookmarkEnd w:id="17"/>
    <w:bookmarkStart w:id="18" w:name="erp-execution-is-the-real-event"/>
    <w:p>
      <w:pPr>
        <w:pStyle w:val="Heading2"/>
      </w:pPr>
      <w:r>
        <w:t xml:space="preserve">ERP execution is the real event</w:t>
      </w:r>
    </w:p>
    <w:p>
      <w:pPr>
        <w:pStyle w:val="FirstParagraph"/>
      </w:pPr>
      <w:r>
        <w:t xml:space="preserve">The U.S./Canada ERP cutover is the last major conversion in Solventum’s separation from 3M. Management entered Q2 having:</w:t>
      </w:r>
    </w:p>
    <w:p>
      <w:pPr>
        <w:pStyle w:val="Compact"/>
        <w:numPr>
          <w:ilvl w:val="0"/>
          <w:numId w:val="1010"/>
        </w:numPr>
      </w:pPr>
      <w:r>
        <w:t xml:space="preserve">Exited just over 50% of transition-service agreements</w:t>
      </w:r>
    </w:p>
    <w:p>
      <w:pPr>
        <w:pStyle w:val="Compact"/>
        <w:numPr>
          <w:ilvl w:val="0"/>
          <w:numId w:val="1010"/>
        </w:numPr>
      </w:pPr>
      <w:r>
        <w:t xml:space="preserve">Migrated approximately 75% of more than 1,200 applications</w:t>
      </w:r>
    </w:p>
    <w:p>
      <w:pPr>
        <w:pStyle w:val="Compact"/>
        <w:numPr>
          <w:ilvl w:val="0"/>
          <w:numId w:val="1010"/>
        </w:numPr>
      </w:pPr>
      <w:r>
        <w:t xml:space="preserve">Targeted more than 90% of TSA exits by year-end 2026</w:t>
      </w:r>
    </w:p>
    <w:p>
      <w:pPr>
        <w:pStyle w:val="Compact"/>
        <w:numPr>
          <w:ilvl w:val="0"/>
          <w:numId w:val="1010"/>
        </w:numPr>
      </w:pPr>
      <w:r>
        <w:t xml:space="preserve">Successfully completed prior ERP waves in Europe and Asia-Pacific</w:t>
      </w:r>
    </w:p>
    <w:p>
      <w:pPr>
        <w:pStyle w:val="FirstParagraph"/>
      </w:pPr>
      <w:r>
        <w:t xml:space="preserve">The U.S. business is heavily distributor-based, which allows Solventum to place inventory in the channel before the conversion. That reduces near-term customer-service risk but makes quarterly sales less transparent.</w:t>
      </w:r>
    </w:p>
    <w:p>
      <w:pPr>
        <w:pStyle w:val="BodyText"/>
      </w:pPr>
      <w:r>
        <w:t xml:space="preserve">Important disclosures will include:</w:t>
      </w:r>
    </w:p>
    <w:p>
      <w:pPr>
        <w:pStyle w:val="Compact"/>
        <w:numPr>
          <w:ilvl w:val="0"/>
          <w:numId w:val="1011"/>
        </w:numPr>
      </w:pPr>
      <w:r>
        <w:t xml:space="preserve">The actual inventory shipped ahead of the cutover</w:t>
      </w:r>
    </w:p>
    <w:p>
      <w:pPr>
        <w:pStyle w:val="Compact"/>
        <w:numPr>
          <w:ilvl w:val="0"/>
          <w:numId w:val="1011"/>
        </w:numPr>
      </w:pPr>
      <w:r>
        <w:t xml:space="preserve">The scheduled conversion date and expected blackout period</w:t>
      </w:r>
    </w:p>
    <w:p>
      <w:pPr>
        <w:pStyle w:val="Compact"/>
        <w:numPr>
          <w:ilvl w:val="0"/>
          <w:numId w:val="1011"/>
        </w:numPr>
      </w:pPr>
      <w:r>
        <w:t xml:space="preserve">Whether distributors accepted more or less inventory than expected</w:t>
      </w:r>
    </w:p>
    <w:p>
      <w:pPr>
        <w:pStyle w:val="Compact"/>
        <w:numPr>
          <w:ilvl w:val="0"/>
          <w:numId w:val="1011"/>
        </w:numPr>
      </w:pPr>
      <w:r>
        <w:t xml:space="preserve">The anticipated Q3 reversal</w:t>
      </w:r>
    </w:p>
    <w:p>
      <w:pPr>
        <w:pStyle w:val="Compact"/>
        <w:numPr>
          <w:ilvl w:val="0"/>
          <w:numId w:val="1011"/>
        </w:numPr>
      </w:pPr>
      <w:r>
        <w:t xml:space="preserve">Early signs of order, billing or fulfillment issues</w:t>
      </w:r>
    </w:p>
    <w:p>
      <w:pPr>
        <w:pStyle w:val="Compact"/>
        <w:numPr>
          <w:ilvl w:val="0"/>
          <w:numId w:val="1011"/>
        </w:numPr>
      </w:pPr>
      <w:r>
        <w:t xml:space="preserve">Changes in back orders or inventory levels</w:t>
      </w:r>
    </w:p>
    <w:p>
      <w:pPr>
        <w:pStyle w:val="Compact"/>
        <w:numPr>
          <w:ilvl w:val="0"/>
          <w:numId w:val="1011"/>
        </w:numPr>
      </w:pPr>
      <w:r>
        <w:t xml:space="preserve">Whether the cutover changes the timing of separation-related spending</w:t>
      </w:r>
    </w:p>
    <w:p>
      <w:pPr>
        <w:pStyle w:val="FirstParagraph"/>
      </w:pPr>
      <w:r>
        <w:t xml:space="preserve">A technically successful conversion with limited service disruption could remove one of the largest remaining execution risks in the story.</w:t>
      </w:r>
    </w:p>
    <w:p>
      <w:r>
        <w:pict>
          <v:rect style="width:0;height:1.5pt" o:hralign="center" o:hrstd="t" o:hr="t"/>
        </w:pict>
      </w:r>
    </w:p>
    <w:bookmarkEnd w:id="18"/>
    <w:bookmarkStart w:id="19" w:name="cash-flow-and-capital-allocation"/>
    <w:p>
      <w:pPr>
        <w:pStyle w:val="Heading2"/>
      </w:pPr>
      <w:r>
        <w:t xml:space="preserve">Cash flow and capital allocation</w:t>
      </w:r>
    </w:p>
    <w:p>
      <w:pPr>
        <w:pStyle w:val="FirstParagraph"/>
      </w:pPr>
      <w:r>
        <w:t xml:space="preserve">Cash flow remains the main area where reported earnings have not yet translated into shareholder value.</w:t>
      </w:r>
    </w:p>
    <w:p>
      <w:pPr>
        <w:pStyle w:val="BodyText"/>
      </w:pPr>
      <w:r>
        <w:t xml:space="preserve">The first-quarter deficit reflected known separation and seasonal items, and management expects:</w:t>
      </w:r>
    </w:p>
    <w:p>
      <w:pPr>
        <w:pStyle w:val="Compact"/>
        <w:numPr>
          <w:ilvl w:val="0"/>
          <w:numId w:val="1012"/>
        </w:numPr>
      </w:pPr>
      <w:r>
        <w:t xml:space="preserve">Sequential improvement after Q1</w:t>
      </w:r>
    </w:p>
    <w:p>
      <w:pPr>
        <w:pStyle w:val="Compact"/>
        <w:numPr>
          <w:ilvl w:val="0"/>
          <w:numId w:val="1012"/>
        </w:numPr>
      </w:pPr>
      <w:r>
        <w:t xml:space="preserve">Lower separation-related spending as the year progresses</w:t>
      </w:r>
    </w:p>
    <w:p>
      <w:pPr>
        <w:pStyle w:val="Compact"/>
        <w:numPr>
          <w:ilvl w:val="0"/>
          <w:numId w:val="1012"/>
        </w:numPr>
      </w:pPr>
      <w:r>
        <w:t xml:space="preserve">Q4 to be the strongest cash-flow quarter</w:t>
      </w:r>
    </w:p>
    <w:p>
      <w:pPr>
        <w:pStyle w:val="Compact"/>
        <w:numPr>
          <w:ilvl w:val="0"/>
          <w:numId w:val="1012"/>
        </w:numPr>
      </w:pPr>
      <w:r>
        <w:t xml:space="preserve">Significant further improvement in 2027</w:t>
      </w:r>
    </w:p>
    <w:p>
      <w:pPr>
        <w:pStyle w:val="FirstParagraph"/>
      </w:pPr>
      <w:r>
        <w:t xml:space="preserve">Still, the $200 million annual target is modest relative to adjusted earnings, and much of the required recovery is back-end weighted. Investors should watch working capital closely because Q2 distributor stocking may boost accounts receivable or consume inventory in ways that reverse during Q3.</w:t>
      </w:r>
    </w:p>
    <w:p>
      <w:pPr>
        <w:pStyle w:val="BodyText"/>
      </w:pPr>
      <w:r>
        <w:t xml:space="preserve">Capital allocation is another potential catalyst. Solventum:</w:t>
      </w:r>
    </w:p>
    <w:p>
      <w:pPr>
        <w:pStyle w:val="Compact"/>
        <w:numPr>
          <w:ilvl w:val="0"/>
          <w:numId w:val="1013"/>
        </w:numPr>
      </w:pPr>
      <w:r>
        <w:t xml:space="preserve">Had approximately $4.5 billion of net debt after Q1</w:t>
      </w:r>
    </w:p>
    <w:p>
      <w:pPr>
        <w:pStyle w:val="Compact"/>
        <w:numPr>
          <w:ilvl w:val="0"/>
          <w:numId w:val="1013"/>
        </w:numPr>
      </w:pPr>
      <w:r>
        <w:t xml:space="preserve">Repurchased $67 million of stock in Q1</w:t>
      </w:r>
    </w:p>
    <w:p>
      <w:pPr>
        <w:pStyle w:val="Compact"/>
        <w:numPr>
          <w:ilvl w:val="0"/>
          <w:numId w:val="1013"/>
        </w:numPr>
      </w:pPr>
      <w:r>
        <w:t xml:space="preserve">Has authorization for up to $1 billion in repurchases</w:t>
      </w:r>
    </w:p>
    <w:p>
      <w:pPr>
        <w:pStyle w:val="Compact"/>
        <w:numPr>
          <w:ilvl w:val="0"/>
          <w:numId w:val="1013"/>
        </w:numPr>
      </w:pPr>
      <w:r>
        <w:t xml:space="preserve">Has indicated that it sees substantial value in its shares</w:t>
      </w:r>
    </w:p>
    <w:p>
      <w:pPr>
        <w:pStyle w:val="Compact"/>
        <w:numPr>
          <w:ilvl w:val="0"/>
          <w:numId w:val="1013"/>
        </w:numPr>
      </w:pPr>
      <w:r>
        <w:t xml:space="preserve">Continues to pursue tuck-in acquisitions similar to Acera</w:t>
      </w:r>
    </w:p>
    <w:p>
      <w:pPr>
        <w:pStyle w:val="FirstParagraph"/>
      </w:pPr>
      <w:r>
        <w:t xml:space="preserve">A larger Q2 repurchase would support EPS and signal confidence, though investors should distinguish buybacks that offset stock compensation from true share-count reduction.</w:t>
      </w:r>
    </w:p>
    <w:p>
      <w:r>
        <w:pict>
          <v:rect style="width:0;height:1.5pt" o:hralign="center" o:hrstd="t" o:hr="t"/>
        </w:pict>
      </w:r>
    </w:p>
    <w:bookmarkEnd w:id="19"/>
    <w:bookmarkStart w:id="23" w:name="guidance-scenarios"/>
    <w:p>
      <w:pPr>
        <w:pStyle w:val="Heading2"/>
      </w:pPr>
      <w:r>
        <w:t xml:space="preserve">Guidance scenarios</w:t>
      </w:r>
    </w:p>
    <w:bookmarkStart w:id="20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4"/>
        </w:numPr>
      </w:pPr>
      <w:r>
        <w:t xml:space="preserve">Normalized organic growth is at or above 3%</w:t>
      </w:r>
    </w:p>
    <w:p>
      <w:pPr>
        <w:pStyle w:val="Compact"/>
        <w:numPr>
          <w:ilvl w:val="0"/>
          <w:numId w:val="1014"/>
        </w:numPr>
      </w:pPr>
      <w:r>
        <w:t xml:space="preserve">HIS remains near 5% growth and MedSurg improves</w:t>
      </w:r>
    </w:p>
    <w:p>
      <w:pPr>
        <w:pStyle w:val="Compact"/>
        <w:numPr>
          <w:ilvl w:val="0"/>
          <w:numId w:val="1014"/>
        </w:numPr>
      </w:pPr>
      <w:r>
        <w:t xml:space="preserve">Gross margin remains around or above 56%</w:t>
      </w:r>
    </w:p>
    <w:p>
      <w:pPr>
        <w:pStyle w:val="Compact"/>
        <w:numPr>
          <w:ilvl w:val="0"/>
          <w:numId w:val="1014"/>
        </w:numPr>
      </w:pPr>
      <w:r>
        <w:t xml:space="preserve">Management raises adjusted EPS above the current</w:t>
      </w:r>
      <w:r>
        <w:t xml:space="preserve"> </w:t>
      </w:r>
      <m:oMath>
        <m:r>
          <m:t>6.40</m:t>
        </m:r>
        <m:r>
          <m:rPr>
            <m:sty m:val="p"/>
          </m:rPr>
          <m:t>–</m:t>
        </m:r>
      </m:oMath>
      <w:r>
        <w:t xml:space="preserve">6.60 range</w:t>
      </w:r>
    </w:p>
    <w:p>
      <w:pPr>
        <w:pStyle w:val="Compact"/>
        <w:numPr>
          <w:ilvl w:val="0"/>
          <w:numId w:val="1014"/>
        </w:numPr>
      </w:pPr>
      <w:r>
        <w:t xml:space="preserve">Free-cash-flow guidance is maintained with increased confidence</w:t>
      </w:r>
    </w:p>
    <w:p>
      <w:pPr>
        <w:pStyle w:val="Compact"/>
        <w:numPr>
          <w:ilvl w:val="0"/>
          <w:numId w:val="1014"/>
        </w:numPr>
      </w:pPr>
      <w:r>
        <w:t xml:space="preserve">The ERP timetable remains intact with no material service issues</w:t>
      </w:r>
    </w:p>
    <w:p>
      <w:pPr>
        <w:pStyle w:val="Compact"/>
        <w:numPr>
          <w:ilvl w:val="0"/>
          <w:numId w:val="1014"/>
        </w:numPr>
      </w:pPr>
      <w:r>
        <w:t xml:space="preserve">Share repurchases accelerate</w:t>
      </w:r>
    </w:p>
    <w:bookmarkEnd w:id="20"/>
    <w:bookmarkStart w:id="21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5"/>
        </w:numPr>
      </w:pPr>
      <w:r>
        <w:t xml:space="preserve">Headline Q2 growth is strong because of more than $100 million of pre-orders</w:t>
      </w:r>
    </w:p>
    <w:p>
      <w:pPr>
        <w:pStyle w:val="Compact"/>
        <w:numPr>
          <w:ilvl w:val="0"/>
          <w:numId w:val="1015"/>
        </w:numPr>
      </w:pPr>
      <w:r>
        <w:t xml:space="preserve">Underlying growth remains around 2%–3%</w:t>
      </w:r>
    </w:p>
    <w:p>
      <w:pPr>
        <w:pStyle w:val="Compact"/>
        <w:numPr>
          <w:ilvl w:val="0"/>
          <w:numId w:val="1015"/>
        </w:numPr>
      </w:pPr>
      <w:r>
        <w:t xml:space="preserve">Adjusted EPS beats, but management explicitly removes the benefit from Q3</w:t>
      </w:r>
    </w:p>
    <w:p>
      <w:pPr>
        <w:pStyle w:val="Compact"/>
        <w:numPr>
          <w:ilvl w:val="0"/>
          <w:numId w:val="1015"/>
        </w:numPr>
      </w:pPr>
      <w:r>
        <w:t xml:space="preserve">Full-year guidance is reiterated, with EPS still expected toward the high end</w:t>
      </w:r>
    </w:p>
    <w:p>
      <w:pPr>
        <w:pStyle w:val="Compact"/>
        <w:numPr>
          <w:ilvl w:val="0"/>
          <w:numId w:val="1015"/>
        </w:numPr>
      </w:pPr>
      <w:r>
        <w:t xml:space="preserve">Gross margin is approximately 56%</w:t>
      </w:r>
    </w:p>
    <w:p>
      <w:pPr>
        <w:pStyle w:val="Compact"/>
        <w:numPr>
          <w:ilvl w:val="0"/>
          <w:numId w:val="1015"/>
        </w:numPr>
      </w:pPr>
      <w:r>
        <w:t xml:space="preserve">Cash flow improves but remains heavily dependent on Q4</w:t>
      </w:r>
    </w:p>
    <w:bookmarkEnd w:id="21"/>
    <w:bookmarkStart w:id="22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6"/>
        </w:numPr>
      </w:pPr>
      <w:r>
        <w:t xml:space="preserve">Underlying growth is below 2% after removing timing</w:t>
      </w:r>
    </w:p>
    <w:p>
      <w:pPr>
        <w:pStyle w:val="Compact"/>
        <w:numPr>
          <w:ilvl w:val="0"/>
          <w:numId w:val="1016"/>
        </w:numPr>
      </w:pPr>
      <w:r>
        <w:t xml:space="preserve">MedSurg margins remain under significant pressure</w:t>
      </w:r>
    </w:p>
    <w:p>
      <w:pPr>
        <w:pStyle w:val="Compact"/>
        <w:numPr>
          <w:ilvl w:val="0"/>
          <w:numId w:val="1016"/>
        </w:numPr>
      </w:pPr>
      <w:r>
        <w:t xml:space="preserve">Q2 order pull-forward is larger than expected, creating a deeper Q3 decline</w:t>
      </w:r>
    </w:p>
    <w:p>
      <w:pPr>
        <w:pStyle w:val="Compact"/>
        <w:numPr>
          <w:ilvl w:val="0"/>
          <w:numId w:val="1016"/>
        </w:numPr>
      </w:pPr>
      <w:r>
        <w:t xml:space="preserve">Management identifies ERP delays or customer-service risks</w:t>
      </w:r>
    </w:p>
    <w:p>
      <w:pPr>
        <w:pStyle w:val="Compact"/>
        <w:numPr>
          <w:ilvl w:val="0"/>
          <w:numId w:val="1016"/>
        </w:numPr>
      </w:pPr>
      <w:r>
        <w:t xml:space="preserve">Tariffs push gross margin materially below 56%</w:t>
      </w:r>
    </w:p>
    <w:p>
      <w:pPr>
        <w:pStyle w:val="Compact"/>
        <w:numPr>
          <w:ilvl w:val="0"/>
          <w:numId w:val="1016"/>
        </w:numPr>
      </w:pPr>
      <w:r>
        <w:t xml:space="preserve">Cash-flow guidance is reduced or becomes less credible</w:t>
      </w:r>
    </w:p>
    <w:p>
      <w:pPr>
        <w:pStyle w:val="Compact"/>
        <w:numPr>
          <w:ilvl w:val="0"/>
          <w:numId w:val="1016"/>
        </w:numPr>
      </w:pPr>
      <w:r>
        <w:t xml:space="preserve">Buybacks remain limited despite management’s prior valuation comments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quarter should not be judged principally on whether Solventum beats Q2 revenue or EPS expectations. Management effectively preannounced a substantial timing-related benefit.</w:t>
      </w:r>
    </w:p>
    <w:p>
      <w:pPr>
        <w:pStyle w:val="BodyText"/>
      </w:pPr>
      <w:r>
        <w:t xml:space="preserve">The higher-quality signals are: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Normalized organic growth of at least 2%–3%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Sustained HIS and Dental momentum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Improving MedSurg profitability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Gross margin holding near 56% despite tariffs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A precise and manageable Q3 revenue reversal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No deterioration in the U.S./Canada ERP plan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Credible progress toward positive full-year free cash flow</w:t>
      </w:r>
    </w:p>
    <w:p>
      <w:pPr>
        <w:pStyle w:val="FirstParagraph"/>
      </w:pPr>
      <w:r>
        <w:t xml:space="preserve">A strong print with maintained guidance could still be received cautiously if most of the upside is borrowed from Q3. Conversely, even a weak Q3 outlook may not be alarming if management can clearly quantify the timing reversal and demonstrate that underlying demand, margins and customer service remain healthy.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2026-08-05T00:49:57Z</dcterms:created>
  <dcterms:modified xsi:type="dcterms:W3CDTF">2026-08-05T00:49:57Z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