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f49df920315d1b2375366dcfa2ca09472d8e35"/>
    <w:p>
      <w:pPr>
        <w:pStyle w:val="Heading1"/>
      </w:pPr>
      <w:r>
        <w:t xml:space="preserve">Solventum (NYSE: SOLV) — 2Q26 Earnings Preview</w:t>
      </w:r>
    </w:p>
    <w:p>
      <w:pPr>
        <w:pStyle w:val="BlockText"/>
      </w:pPr>
      <w:r>
        <w:rPr>
          <w:b/>
          <w:bCs/>
        </w:rPr>
        <w:t xml:space="preserve">Timing correction:</w:t>
      </w:r>
      <w:r>
        <w:t xml:space="preserve"> </w:t>
      </w:r>
      <w:r>
        <w:t xml:space="preserve">Solventum reports</w:t>
      </w:r>
      <w:r>
        <w:t xml:space="preserve"> </w:t>
      </w:r>
      <w:r>
        <w:rPr>
          <w:b/>
          <w:bCs/>
        </w:rPr>
        <w:t xml:space="preserve">today, Wednesday, August 5, 2026</w:t>
      </w:r>
      <w:r>
        <w:t xml:space="preserve">, after the U.S. market close—not tomorrow. Management’s earnings webcast is scheduled for</w:t>
      </w:r>
      <w:r>
        <w:t xml:space="preserve"> </w:t>
      </w:r>
      <w:r>
        <w:rPr>
          <w:b/>
          <w:bCs/>
        </w:rPr>
        <w:t xml:space="preserve">4:30 p.m. ET</w:t>
      </w:r>
      <w:r>
        <w:t xml:space="preserve">.</w:t>
      </w:r>
    </w:p>
    <w:bookmarkStart w:id="9" w:name="X6e3f464cb274db5b53a5d5d097f86080a526748"/>
    <w:p>
      <w:pPr>
        <w:pStyle w:val="Heading2"/>
      </w:pPr>
      <w:r>
        <w:t xml:space="preserve">The setup: a strong reported quarter is expected—but quality of growth matters more</w:t>
      </w:r>
    </w:p>
    <w:p>
      <w:pPr>
        <w:pStyle w:val="FirstParagraph"/>
      </w:pPr>
      <w:r>
        <w:t xml:space="preserve">Solventum enters 2Q with improving commercial momentum, visible cost actions, and an earnings setup that management itself flagged as unusual. The central issue is that</w:t>
      </w:r>
      <w:r>
        <w:t xml:space="preserve"> </w:t>
      </w:r>
      <w:r>
        <w:rPr>
          <w:b/>
          <w:bCs/>
        </w:rPr>
        <w:t xml:space="preserve">more than $100 million of sales may have been pulled forward into 2Q</w:t>
      </w:r>
      <w:r>
        <w:t xml:space="preserve"> </w:t>
      </w:r>
      <w:r>
        <w:t xml:space="preserve">ahead of the large U.S./Canada ERP cutover planned for 3Q. Those advanced distributor orders are expected to come primarily from</w:t>
      </w:r>
      <w:r>
        <w:t xml:space="preserve"> </w:t>
      </w:r>
      <w:r>
        <w:rPr>
          <w:b/>
          <w:bCs/>
        </w:rPr>
        <w:t xml:space="preserve">Infection Prevention &amp; Surgical Solutions (IP&amp;SS)</w:t>
      </w:r>
      <w:r>
        <w:t xml:space="preserve"> </w:t>
      </w:r>
      <w:r>
        <w:t xml:space="preserve">and</w:t>
      </w:r>
      <w:r>
        <w:t xml:space="preserve"> </w:t>
      </w:r>
      <w:r>
        <w:rPr>
          <w:b/>
          <w:bCs/>
        </w:rPr>
        <w:t xml:space="preserve">Dental</w:t>
      </w:r>
      <w:r>
        <w:t xml:space="preserve">, then reverse mostly in 3Q.</w:t>
      </w:r>
    </w:p>
    <w:p>
      <w:pPr>
        <w:pStyle w:val="BodyText"/>
      </w:pPr>
      <w:r>
        <w:t xml:space="preserve">That makes the headline revenue and EPS outcome less informative than usual. Investors should focus on:</w:t>
      </w:r>
    </w:p>
    <w:p>
      <w:pPr>
        <w:pStyle w:val="Compact"/>
        <w:numPr>
          <w:ilvl w:val="0"/>
          <w:numId w:val="1001"/>
        </w:numPr>
      </w:pPr>
      <w:r>
        <w:rPr>
          <w:b/>
          <w:bCs/>
        </w:rPr>
        <w:t xml:space="preserve">Organic growth excluding ERP-related order timing</w:t>
      </w:r>
    </w:p>
    <w:p>
      <w:pPr>
        <w:pStyle w:val="Compact"/>
        <w:numPr>
          <w:ilvl w:val="0"/>
          <w:numId w:val="1001"/>
        </w:numPr>
      </w:pPr>
      <w:r>
        <w:rPr>
          <w:b/>
          <w:bCs/>
        </w:rPr>
        <w:t xml:space="preserve">The exact size and segment mix of the pull-forward</w:t>
      </w:r>
    </w:p>
    <w:p>
      <w:pPr>
        <w:pStyle w:val="Compact"/>
        <w:numPr>
          <w:ilvl w:val="0"/>
          <w:numId w:val="1001"/>
        </w:numPr>
      </w:pPr>
      <w:r>
        <w:rPr>
          <w:b/>
          <w:bCs/>
        </w:rPr>
        <w:t xml:space="preserve">Whether full-year guidance is maintained or raised</w:t>
      </w:r>
    </w:p>
    <w:p>
      <w:pPr>
        <w:pStyle w:val="Compact"/>
        <w:numPr>
          <w:ilvl w:val="0"/>
          <w:numId w:val="1001"/>
        </w:numPr>
      </w:pPr>
      <w:r>
        <w:rPr>
          <w:b/>
          <w:bCs/>
        </w:rPr>
        <w:t xml:space="preserve">Evidence that margins, cash flow, and the 3M separation remain on track despite the operational complexity</w:t>
      </w:r>
    </w:p>
    <w:p>
      <w:pPr>
        <w:pStyle w:val="FirstParagraph"/>
      </w:pPr>
      <w:r>
        <w:t xml:space="preserve">The stock has already rallied sharply—roughly</w:t>
      </w:r>
      <w:r>
        <w:t xml:space="preserve"> </w:t>
      </w:r>
      <w:r>
        <w:rPr>
          <w:b/>
          <w:bCs/>
        </w:rPr>
        <w:t xml:space="preserve">27% from the May 5 earnings-date close through August 4</w:t>
      </w:r>
      <w:r>
        <w:t xml:space="preserve">—so the bar is likely higher than it was after 1Q.</w:t>
      </w:r>
    </w:p>
    <w:p>
      <w:r>
        <w:pict>
          <v:rect style="width:0;height:1.5pt" o:hralign="center" o:hrstd="t" o:hr="t"/>
        </w:pict>
      </w:r>
    </w:p>
    <w:bookmarkEnd w:id="9"/>
    <w:bookmarkStart w:id="10" w:name="what-management-guided-to-last-quarter"/>
    <w:p>
      <w:pPr>
        <w:pStyle w:val="Heading2"/>
      </w:pPr>
      <w:r>
        <w:t xml:space="preserve">What management guided to last quarter</w:t>
      </w:r>
    </w:p>
    <w:p>
      <w:pPr>
        <w:pStyle w:val="FirstParagraph"/>
      </w:pPr>
      <w:r>
        <w:t xml:space="preserve">At its May 5 1Q release, Solventum reaffirmed full-year 2026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FY26 outlook</w:t>
            </w:r>
          </w:p>
        </w:tc>
      </w:tr>
      <w:tr>
        <w:tc>
          <w:tcPr/>
          <w:p>
            <w:pPr>
              <w:pStyle w:val="Compact"/>
            </w:pPr>
            <w:r>
              <w:t xml:space="preserve">Organic sales growth</w:t>
            </w:r>
          </w:p>
        </w:tc>
        <w:tc>
          <w:tcPr/>
          <w:p>
            <w:pPr>
              <w:pStyle w:val="Compact"/>
              <w:jc w:val="right"/>
            </w:pPr>
            <w:r>
              <w:rPr>
                <w:b/>
                <w:bCs/>
              </w:rPr>
              <w:t xml:space="preserve">+2% to +3%</w:t>
            </w:r>
          </w:p>
        </w:tc>
      </w:tr>
      <w:tr>
        <w:tc>
          <w:tcPr/>
          <w:p>
            <w:pPr>
              <w:pStyle w:val="Compact"/>
            </w:pPr>
            <w:r>
              <w:t xml:space="preserve">Organic growth excluding SKU exits</w:t>
            </w:r>
          </w:p>
        </w:tc>
        <w:tc>
          <w:tcPr/>
          <w:p>
            <w:pPr>
              <w:pStyle w:val="Compact"/>
              <w:jc w:val="right"/>
            </w:pPr>
            <w:r>
              <w:rPr>
                <w:b/>
                <w:bCs/>
              </w:rPr>
              <w:t xml:space="preserve">+3% to +4%</w:t>
            </w:r>
          </w:p>
        </w:tc>
      </w:tr>
      <w:tr>
        <w:tc>
          <w:tcPr/>
          <w:p>
            <w:pPr>
              <w:pStyle w:val="Compact"/>
            </w:pPr>
            <w:r>
              <w:t xml:space="preserve">Adjusted EPS</w:t>
            </w:r>
          </w:p>
        </w:tc>
        <w:tc>
          <w:tcPr/>
          <w:p>
            <w:pPr>
              <w:pStyle w:val="Compact"/>
              <w:jc w:val="right"/>
            </w:pPr>
            <m:oMath>
              <m:r>
                <m:t>6.40</m:t>
              </m:r>
              <m:r>
                <m:rPr>
                  <m:sty m:val="p"/>
                </m:rPr>
                <m:t>–</m:t>
              </m:r>
            </m:oMath>
            <w:r>
              <w:rPr>
                <w:b/>
                <w:bCs/>
              </w:rPr>
              <w:t xml:space="preserve">6.60</w:t>
            </w:r>
            <w:r>
              <w:t xml:space="preserve">, with management expecting the</w:t>
            </w:r>
            <w:r>
              <w:t xml:space="preserve"> </w:t>
            </w:r>
            <w:r>
              <w:rPr>
                <w:b/>
                <w:bCs/>
              </w:rPr>
              <w:t xml:space="preserve">high end</w:t>
            </w:r>
          </w:p>
        </w:tc>
      </w:tr>
      <w:tr>
        <w:tc>
          <w:tcPr/>
          <w:p>
            <w:pPr>
              <w:pStyle w:val="Compact"/>
            </w:pPr>
            <w:r>
              <w:t xml:space="preserve">Adjusted operating margin</w:t>
            </w:r>
          </w:p>
        </w:tc>
        <w:tc>
          <w:tcPr/>
          <w:p>
            <w:pPr>
              <w:pStyle w:val="Compact"/>
              <w:jc w:val="right"/>
            </w:pPr>
            <w:r>
              <w:rPr>
                <w:b/>
                <w:bCs/>
              </w:rPr>
              <w:t xml:space="preserve">21.0%–21.5%</w:t>
            </w:r>
          </w:p>
        </w:tc>
      </w:tr>
      <w:tr>
        <w:tc>
          <w:tcPr/>
          <w:p>
            <w:pPr>
              <w:pStyle w:val="Compact"/>
            </w:pPr>
            <w:r>
              <w:t xml:space="preserve">Free cash flow</w:t>
            </w:r>
          </w:p>
        </w:tc>
        <w:tc>
          <w:tcPr/>
          <w:p>
            <w:pPr>
              <w:pStyle w:val="Compact"/>
              <w:jc w:val="right"/>
            </w:pPr>
            <w:r>
              <w:rPr>
                <w:b/>
                <w:bCs/>
              </w:rPr>
              <w:t xml:space="preserve">~$200 million</w:t>
            </w:r>
          </w:p>
        </w:tc>
      </w:tr>
      <w:tr>
        <w:tc>
          <w:tcPr/>
          <w:p>
            <w:pPr>
              <w:pStyle w:val="Compact"/>
            </w:pPr>
            <w:r>
              <w:t xml:space="preserve">Tariff headwind</w:t>
            </w:r>
          </w:p>
        </w:tc>
        <w:tc>
          <w:tcPr/>
          <w:p>
            <w:pPr>
              <w:pStyle w:val="Compact"/>
              <w:jc w:val="right"/>
            </w:pPr>
            <m:oMath>
              <m:r>
                <m:t>100</m:t>
              </m:r>
              <m:r>
                <m:rPr>
                  <m:sty m:val="p"/>
                </m:rPr>
                <m:t>–</m:t>
              </m:r>
            </m:oMath>
            <w:r>
              <w:rPr>
                <w:b/>
                <w:bCs/>
              </w:rPr>
              <w:t xml:space="preserve">120 million</w:t>
            </w:r>
          </w:p>
        </w:tc>
      </w:tr>
    </w:tbl>
    <w:p>
      <w:pPr>
        <w:pStyle w:val="BodyText"/>
      </w:pPr>
      <w:r>
        <w:t xml:space="preserve">The core investment question is whether 2Q results substantiate a path to the high end of EPS guidance</w:t>
      </w:r>
      <w:r>
        <w:t xml:space="preserve"> </w:t>
      </w:r>
      <w:r>
        <w:rPr>
          <w:b/>
          <w:bCs/>
        </w:rPr>
        <w:t xml:space="preserve">without relying on temporary order timing</w:t>
      </w:r>
      <w:r>
        <w:t xml:space="preserve">.</w:t>
      </w:r>
    </w:p>
    <w:p>
      <w:r>
        <w:pict>
          <v:rect style="width:0;height:1.5pt" o:hralign="center" o:hrstd="t" o:hr="t"/>
        </w:pict>
      </w:r>
    </w:p>
    <w:bookmarkEnd w:id="10"/>
    <w:bookmarkStart w:id="12" w:name="Xbdeae4337ce5539318aecd4f07d9ddd0b9b5b46"/>
    <w:p>
      <w:pPr>
        <w:pStyle w:val="Heading2"/>
      </w:pPr>
      <w:r>
        <w:t xml:space="preserve">Why 2Q will be noisy: the ERP pull-forward</w:t>
      </w:r>
    </w:p>
    <w:p>
      <w:pPr>
        <w:pStyle w:val="FirstParagraph"/>
      </w:pPr>
      <w:r>
        <w:t xml:space="preserve">Management previewed that it expects</w:t>
      </w:r>
      <w:r>
        <w:t xml:space="preserve"> </w:t>
      </w:r>
      <w:r>
        <w:rPr>
          <w:b/>
          <w:bCs/>
        </w:rPr>
        <w:t xml:space="preserve">over $100 million of incremental 2Q sales</w:t>
      </w:r>
      <w:r>
        <w:t xml:space="preserve"> </w:t>
      </w:r>
      <w:r>
        <w:t xml:space="preserve">from orders moved forward ahead of the U.S. and Canada ERP implementation in 3Q.</w:t>
      </w:r>
    </w:p>
    <w:bookmarkStart w:id="11" w:name="what-that-means"/>
    <w:p>
      <w:pPr>
        <w:pStyle w:val="Heading3"/>
      </w:pPr>
      <w:r>
        <w:t xml:space="preserve">What that means</w:t>
      </w:r>
    </w:p>
    <w:p>
      <w:pPr>
        <w:pStyle w:val="Compact"/>
        <w:numPr>
          <w:ilvl w:val="0"/>
          <w:numId w:val="1002"/>
        </w:numPr>
      </w:pPr>
      <w:r>
        <w:t xml:space="preserve">The bulk of the benefit should flow through</w:t>
      </w:r>
      <w:r>
        <w:t xml:space="preserve"> </w:t>
      </w:r>
      <w:r>
        <w:rPr>
          <w:b/>
          <w:bCs/>
        </w:rPr>
        <w:t xml:space="preserve">IP&amp;SS and Dental</w:t>
      </w:r>
      <w:r>
        <w:t xml:space="preserve">.</w:t>
      </w:r>
    </w:p>
    <w:p>
      <w:pPr>
        <w:pStyle w:val="Compact"/>
        <w:numPr>
          <w:ilvl w:val="0"/>
          <w:numId w:val="1002"/>
        </w:numPr>
      </w:pPr>
      <w:r>
        <w:t xml:space="preserve">It is designed to protect customer service and distributor inventory during the system transition.</w:t>
      </w:r>
    </w:p>
    <w:p>
      <w:pPr>
        <w:pStyle w:val="Compact"/>
        <w:numPr>
          <w:ilvl w:val="0"/>
          <w:numId w:val="1002"/>
        </w:numPr>
      </w:pPr>
      <w:r>
        <w:t xml:space="preserve">Management expects the benefit to reverse in the second half,</w:t>
      </w:r>
      <w:r>
        <w:t xml:space="preserve"> </w:t>
      </w:r>
      <w:r>
        <w:rPr>
          <w:b/>
          <w:bCs/>
        </w:rPr>
        <w:t xml:space="preserve">mostly in 3Q</w:t>
      </w:r>
      <w:r>
        <w:t xml:space="preserve">.</w:t>
      </w:r>
    </w:p>
    <w:p>
      <w:pPr>
        <w:pStyle w:val="Compact"/>
        <w:numPr>
          <w:ilvl w:val="0"/>
          <w:numId w:val="1002"/>
        </w:numPr>
      </w:pPr>
      <w:r>
        <w:t xml:space="preserve">The company said it would quantify the actual amount when it reports 2Q and then help investors normalize the back half accordingly.</w:t>
      </w:r>
    </w:p>
    <w:p>
      <w:pPr>
        <w:pStyle w:val="FirstParagraph"/>
      </w:pPr>
      <w:r>
        <w:t xml:space="preserve">This is not simply a modeling detail. It will shape the market’s interpretation of the print:</w:t>
      </w:r>
    </w:p>
    <w:p>
      <w:pPr>
        <w:pStyle w:val="Compact"/>
        <w:numPr>
          <w:ilvl w:val="0"/>
          <w:numId w:val="1003"/>
        </w:numPr>
      </w:pPr>
      <w:r>
        <w:rPr>
          <w:b/>
          <w:bCs/>
        </w:rPr>
        <w:t xml:space="preserve">A large headline beat with no clean underlying-growth disclosure</w:t>
      </w:r>
      <w:r>
        <w:t xml:space="preserve"> </w:t>
      </w:r>
      <w:r>
        <w:t xml:space="preserve">could be discounted.</w:t>
      </w:r>
    </w:p>
    <w:p>
      <w:pPr>
        <w:pStyle w:val="Compact"/>
        <w:numPr>
          <w:ilvl w:val="0"/>
          <w:numId w:val="1003"/>
        </w:numPr>
      </w:pPr>
      <w:r>
        <w:rPr>
          <w:b/>
          <w:bCs/>
        </w:rPr>
        <w:t xml:space="preserve">A clear bridge showing organic growth in-range even excluding pull-forward activity</w:t>
      </w:r>
      <w:r>
        <w:t xml:space="preserve"> </w:t>
      </w:r>
      <w:r>
        <w:t xml:space="preserve">would reinforce the improving operating narrative.</w:t>
      </w:r>
    </w:p>
    <w:p>
      <w:pPr>
        <w:pStyle w:val="Compact"/>
        <w:numPr>
          <w:ilvl w:val="0"/>
          <w:numId w:val="1003"/>
        </w:numPr>
      </w:pPr>
      <w:r>
        <w:rPr>
          <w:b/>
          <w:bCs/>
        </w:rPr>
        <w:t xml:space="preserve">A smaller-than-expected pull-forward</w:t>
      </w:r>
      <w:r>
        <w:t xml:space="preserve"> </w:t>
      </w:r>
      <w:r>
        <w:t xml:space="preserve">could raise questions about execution or distributor participation, though it could also mean less of a 3Q reversal.</w:t>
      </w:r>
    </w:p>
    <w:p>
      <w:pPr>
        <w:pStyle w:val="Compact"/>
        <w:numPr>
          <w:ilvl w:val="0"/>
          <w:numId w:val="1003"/>
        </w:numPr>
      </w:pPr>
      <w:r>
        <w:rPr>
          <w:b/>
          <w:bCs/>
        </w:rPr>
        <w:t xml:space="preserve">Any disruption to the upcoming ERP conversion</w:t>
      </w:r>
      <w:r>
        <w:t xml:space="preserve"> </w:t>
      </w:r>
      <w:r>
        <w:t xml:space="preserve">would be the largest near-term operational risk.</w:t>
      </w:r>
    </w:p>
    <w:p>
      <w:r>
        <w:pict>
          <v:rect style="width:0;height:1.5pt" o:hralign="center" o:hrstd="t" o:hr="t"/>
        </w:pict>
      </w:r>
    </w:p>
    <w:bookmarkEnd w:id="11"/>
    <w:bookmarkEnd w:id="12"/>
    <w:bookmarkStart w:id="14" w:name="X8d6065137cc75b63bd686ef7aaf7b8ac495bf3f"/>
    <w:p>
      <w:pPr>
        <w:pStyle w:val="Heading2"/>
      </w:pPr>
      <w:r>
        <w:t xml:space="preserve">1Q baseline: momentum was improving, but mix was uneven</w:t>
      </w:r>
    </w:p>
    <w:p>
      <w:pPr>
        <w:pStyle w:val="FirstParagraph"/>
      </w:pPr>
      <w:r>
        <w:t xml:space="preserve">Solventum’s 1Q26 results were ahead of its plan:</w:t>
      </w:r>
    </w:p>
    <w:p>
      <w:pPr>
        <w:pStyle w:val="Compact"/>
        <w:numPr>
          <w:ilvl w:val="0"/>
          <w:numId w:val="1004"/>
        </w:numPr>
      </w:pPr>
      <w:r>
        <w:t xml:space="preserve">Sales:</w:t>
      </w:r>
      <w:r>
        <w:t xml:space="preserve"> </w:t>
      </w:r>
      <w:r>
        <w:rPr>
          <w:b/>
          <w:bCs/>
        </w:rPr>
        <w:t xml:space="preserve">$2.0 billion</w:t>
      </w:r>
    </w:p>
    <w:p>
      <w:pPr>
        <w:pStyle w:val="Compact"/>
        <w:numPr>
          <w:ilvl w:val="0"/>
          <w:numId w:val="1004"/>
        </w:numPr>
      </w:pPr>
      <w:r>
        <w:t xml:space="preserve">Organic growth:</w:t>
      </w:r>
      <w:r>
        <w:t xml:space="preserve"> </w:t>
      </w:r>
      <w:r>
        <w:rPr>
          <w:b/>
          <w:bCs/>
        </w:rPr>
        <w:t xml:space="preserve">+2.1%</w:t>
      </w:r>
    </w:p>
    <w:p>
      <w:pPr>
        <w:pStyle w:val="Compact"/>
        <w:numPr>
          <w:ilvl w:val="0"/>
          <w:numId w:val="1004"/>
        </w:numPr>
      </w:pPr>
      <w:r>
        <w:t xml:space="preserve">Adjusted EPS:</w:t>
      </w:r>
      <w:r>
        <w:t xml:space="preserve"> </w:t>
      </w:r>
      <w:r>
        <w:rPr>
          <w:b/>
          <w:bCs/>
        </w:rPr>
        <w:t xml:space="preserve">$1.48</w:t>
      </w:r>
      <w:r>
        <w:t xml:space="preserve">, up 10.6% year over year</w:t>
      </w:r>
    </w:p>
    <w:p>
      <w:pPr>
        <w:pStyle w:val="Compact"/>
        <w:numPr>
          <w:ilvl w:val="0"/>
          <w:numId w:val="1004"/>
        </w:numPr>
      </w:pPr>
      <w:r>
        <w:t xml:space="preserve">Adjusted operating margin:</w:t>
      </w:r>
      <w:r>
        <w:t xml:space="preserve"> </w:t>
      </w:r>
      <w:r>
        <w:rPr>
          <w:b/>
          <w:bCs/>
        </w:rPr>
        <w:t xml:space="preserve">19.5%</w:t>
      </w:r>
    </w:p>
    <w:p>
      <w:pPr>
        <w:pStyle w:val="Compact"/>
        <w:numPr>
          <w:ilvl w:val="0"/>
          <w:numId w:val="1004"/>
        </w:numPr>
      </w:pPr>
      <w:r>
        <w:t xml:space="preserve">Free cash flow:</w:t>
      </w:r>
      <w:r>
        <w:t xml:space="preserve"> </w:t>
      </w:r>
      <w:r>
        <w:rPr>
          <w:b/>
          <w:bCs/>
        </w:rPr>
        <w:t xml:space="preserve">$(273) million</w:t>
      </w:r>
      <w:r>
        <w:t xml:space="preserve">, reflecting normal first-quarter seasonality, separation costs, and transition-related payments</w:t>
      </w:r>
    </w:p>
    <w:p>
      <w:pPr>
        <w:pStyle w:val="FirstParagraph"/>
      </w:pPr>
      <w:r>
        <w:t xml:space="preserve">Segment trends provide the key starting point for 2Q:</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1Q26 organic growth</w:t>
            </w:r>
          </w:p>
        </w:tc>
        <w:tc>
          <w:tcPr/>
          <w:p>
            <w:pPr>
              <w:pStyle w:val="Compact"/>
            </w:pPr>
            <w:r>
              <w:t xml:space="preserve">What investors should watch in 2Q</w:t>
            </w:r>
          </w:p>
        </w:tc>
      </w:tr>
      <w:tr>
        <w:tc>
          <w:tcPr/>
          <w:p>
            <w:pPr>
              <w:pStyle w:val="Compact"/>
            </w:pPr>
            <w:r>
              <w:rPr>
                <w:b/>
                <w:bCs/>
              </w:rPr>
              <w:t xml:space="preserve">MedSurg</w:t>
            </w:r>
          </w:p>
        </w:tc>
        <w:tc>
          <w:tcPr/>
          <w:p>
            <w:pPr>
              <w:pStyle w:val="Compact"/>
              <w:jc w:val="right"/>
            </w:pPr>
            <w:r>
              <w:rPr>
                <w:b/>
                <w:bCs/>
              </w:rPr>
              <w:t xml:space="preserve">+1.2%</w:t>
            </w:r>
          </w:p>
        </w:tc>
        <w:tc>
          <w:tcPr/>
          <w:p>
            <w:pPr>
              <w:pStyle w:val="Compact"/>
            </w:pPr>
            <w:r>
              <w:t xml:space="preserve">Underlying recovery in wound care and IP&amp;SS; tariff and freight pressure on segment margin</w:t>
            </w:r>
          </w:p>
        </w:tc>
      </w:tr>
      <w:tr>
        <w:tc>
          <w:tcPr/>
          <w:p>
            <w:pPr>
              <w:pStyle w:val="Compact"/>
            </w:pPr>
            <w:r>
              <w:rPr>
                <w:b/>
                <w:bCs/>
              </w:rPr>
              <w:t xml:space="preserve">Dental Solutions</w:t>
            </w:r>
          </w:p>
        </w:tc>
        <w:tc>
          <w:tcPr/>
          <w:p>
            <w:pPr>
              <w:pStyle w:val="Compact"/>
              <w:jc w:val="right"/>
            </w:pPr>
            <w:r>
              <w:rPr>
                <w:b/>
                <w:bCs/>
              </w:rPr>
              <w:t xml:space="preserve">+3.4%</w:t>
            </w:r>
          </w:p>
        </w:tc>
        <w:tc>
          <w:tcPr/>
          <w:p>
            <w:pPr>
              <w:pStyle w:val="Compact"/>
            </w:pPr>
            <w:r>
              <w:t xml:space="preserve">New-product momentum, normalization after prior backorder improvement, and the magnitude of ERP pull-forward</w:t>
            </w:r>
          </w:p>
        </w:tc>
      </w:tr>
      <w:tr>
        <w:tc>
          <w:tcPr/>
          <w:p>
            <w:pPr>
              <w:pStyle w:val="Compact"/>
            </w:pPr>
            <w:r>
              <w:rPr>
                <w:b/>
                <w:bCs/>
              </w:rPr>
              <w:t xml:space="preserve">Health Information Systems</w:t>
            </w:r>
          </w:p>
        </w:tc>
        <w:tc>
          <w:tcPr/>
          <w:p>
            <w:pPr>
              <w:pStyle w:val="Compact"/>
              <w:jc w:val="right"/>
            </w:pPr>
            <w:r>
              <w:rPr>
                <w:b/>
                <w:bCs/>
              </w:rPr>
              <w:t xml:space="preserve">+4.7%</w:t>
            </w:r>
          </w:p>
        </w:tc>
        <w:tc>
          <w:tcPr/>
          <w:p>
            <w:pPr>
              <w:pStyle w:val="Compact"/>
            </w:pPr>
            <w:r>
              <w:t xml:space="preserve">Continued growth in revenue-cycle management and autonomous coding adoption</w:t>
            </w:r>
          </w:p>
        </w:tc>
      </w:tr>
    </w:tbl>
    <w:bookmarkStart w:id="13" w:name="segment-read-through"/>
    <w:p>
      <w:pPr>
        <w:pStyle w:val="Heading3"/>
      </w:pPr>
      <w:r>
        <w:t xml:space="preserve">Segment read-through</w:t>
      </w:r>
    </w:p>
    <w:p>
      <w:pPr>
        <w:pStyle w:val="FirstParagraph"/>
      </w:pPr>
      <w:r>
        <w:rPr>
          <w:b/>
          <w:bCs/>
        </w:rPr>
        <w:t xml:space="preserve">MedSurg:</w:t>
      </w:r>
      <w:r>
        <w:t xml:space="preserve"> </w:t>
      </w:r>
      <w:r>
        <w:t xml:space="preserve">This is the largest business and remains the most important swing factor. In 1Q, Advanced Wound Care grew 2.1% organically, while IP&amp;SS grew only 0.6% against a difficult comparison and SKU rationalization effects. Solventum’s acquisition of Acera adds reported revenue to advanced wound care, but investors should separate that contribution from organic performance.</w:t>
      </w:r>
    </w:p>
    <w:p>
      <w:pPr>
        <w:pStyle w:val="BodyText"/>
      </w:pPr>
      <w:r>
        <w:rPr>
          <w:b/>
          <w:bCs/>
        </w:rPr>
        <w:t xml:space="preserve">Dental:</w:t>
      </w:r>
      <w:r>
        <w:t xml:space="preserve"> </w:t>
      </w:r>
      <w:r>
        <w:t xml:space="preserve">The segment has been improving through better commercial execution, product launches, and improved supply availability. But it is also one of the businesses most exposed to the 2Q distributor-order timing benefit, so the reported growth rate may overstate the sustainable run rate.</w:t>
      </w:r>
    </w:p>
    <w:p>
      <w:pPr>
        <w:pStyle w:val="BodyText"/>
      </w:pPr>
      <w:r>
        <w:rPr>
          <w:b/>
          <w:bCs/>
        </w:rPr>
        <w:t xml:space="preserve">HIS:</w:t>
      </w:r>
      <w:r>
        <w:t xml:space="preserve"> </w:t>
      </w:r>
      <w:r>
        <w:t xml:space="preserve">Health Information Systems is the cleanest growth-and-margin asset in the portfolio. Its 1Q segment margin was 38.1%, and the company continues to highlight adoption of its 360 Encompass and autonomous-coding offerings. Sustained mid-single-digit growth here would support the long-term mix and margin thesis.</w:t>
      </w:r>
    </w:p>
    <w:p>
      <w:r>
        <w:pict>
          <v:rect style="width:0;height:1.5pt" o:hralign="center" o:hrstd="t" o:hr="t"/>
        </w:pict>
      </w:r>
    </w:p>
    <w:bookmarkEnd w:id="13"/>
    <w:bookmarkEnd w:id="14"/>
    <w:bookmarkStart w:id="15" w:name="X3ba52a20cfc3a2249221ac0ce8d1b623a709ade"/>
    <w:p>
      <w:pPr>
        <w:pStyle w:val="Heading2"/>
      </w:pPr>
      <w:r>
        <w:t xml:space="preserve">Margin outlook: progress needs to offset tariffs and separation costs</w:t>
      </w:r>
    </w:p>
    <w:p>
      <w:pPr>
        <w:pStyle w:val="FirstParagraph"/>
      </w:pPr>
      <w:r>
        <w:t xml:space="preserve">The margin story is constructive but still carries execution risk.</w:t>
      </w:r>
    </w:p>
    <w:p>
      <w:pPr>
        <w:pStyle w:val="BodyText"/>
      </w:pPr>
      <w:r>
        <w:t xml:space="preserve">In 1Q, adjusted gross margin rose 80 basis points year over year to</w:t>
      </w:r>
      <w:r>
        <w:t xml:space="preserve"> </w:t>
      </w:r>
      <w:r>
        <w:rPr>
          <w:b/>
          <w:bCs/>
        </w:rPr>
        <w:t xml:space="preserve">56.4%</w:t>
      </w:r>
      <w:r>
        <w:t xml:space="preserve">, helped by savings programs, portfolio actions, sales leverage, and mix. Management cautioned, however, that the balance of 2026 should be closer to</w:t>
      </w:r>
      <w:r>
        <w:t xml:space="preserve"> </w:t>
      </w:r>
      <w:r>
        <w:rPr>
          <w:b/>
          <w:bCs/>
        </w:rPr>
        <w:t xml:space="preserve">just under 56% gross margin</w:t>
      </w:r>
      <w:r>
        <w:t xml:space="preserve">.</w:t>
      </w:r>
    </w:p>
    <w:p>
      <w:pPr>
        <w:pStyle w:val="BodyText"/>
      </w:pPr>
      <w:r>
        <w:t xml:space="preserve">The crucial 2Q questions:</w:t>
      </w:r>
    </w:p>
    <w:p>
      <w:pPr>
        <w:pStyle w:val="Compact"/>
        <w:numPr>
          <w:ilvl w:val="0"/>
          <w:numId w:val="1005"/>
        </w:numPr>
      </w:pPr>
      <w:r>
        <w:t xml:space="preserve">Are</w:t>
      </w:r>
      <w:r>
        <w:t xml:space="preserve"> </w:t>
      </w:r>
      <w:r>
        <w:rPr>
          <w:b/>
          <w:bCs/>
        </w:rPr>
        <w:t xml:space="preserve">Transform for the Future</w:t>
      </w:r>
      <w:r>
        <w:t xml:space="preserve"> </w:t>
      </w:r>
      <w:r>
        <w:t xml:space="preserve">savings continuing to outpace inflation and tariffs?</w:t>
      </w:r>
    </w:p>
    <w:p>
      <w:pPr>
        <w:pStyle w:val="Compact"/>
        <w:numPr>
          <w:ilvl w:val="0"/>
          <w:numId w:val="1005"/>
        </w:numPr>
      </w:pPr>
      <w:r>
        <w:t xml:space="preserve">Is the company still on track for</w:t>
      </w:r>
      <w:r>
        <w:t xml:space="preserve"> </w:t>
      </w:r>
      <w:r>
        <w:rPr>
          <w:b/>
          <w:bCs/>
        </w:rPr>
        <w:t xml:space="preserve">50–100 basis points of full-year adjusted operating-margin expansion</w:t>
      </w:r>
      <w:r>
        <w:t xml:space="preserve">?</w:t>
      </w:r>
    </w:p>
    <w:p>
      <w:pPr>
        <w:pStyle w:val="Compact"/>
        <w:numPr>
          <w:ilvl w:val="0"/>
          <w:numId w:val="1005"/>
        </w:numPr>
      </w:pPr>
      <w:r>
        <w:t xml:space="preserve">Are higher-margin products, HIS, Acera, and the P&amp;F divestiture providing a durable mix benefit?</w:t>
      </w:r>
    </w:p>
    <w:p>
      <w:pPr>
        <w:pStyle w:val="Compact"/>
        <w:numPr>
          <w:ilvl w:val="0"/>
          <w:numId w:val="1005"/>
        </w:numPr>
      </w:pPr>
      <w:r>
        <w:t xml:space="preserve">Does 2Q’s revenue pull-forward create an unusually high incremental margin that should be stripped out when assessing the second half?</w:t>
      </w:r>
    </w:p>
    <w:p>
      <w:pPr>
        <w:pStyle w:val="FirstParagraph"/>
      </w:pPr>
      <w:r>
        <w:t xml:space="preserve">Solventum continues to estimate a</w:t>
      </w:r>
      <w:r>
        <w:t xml:space="preserve"> </w:t>
      </w:r>
      <m:oMath>
        <m:r>
          <m:t>100</m:t>
        </m:r>
        <m:r>
          <m:rPr>
            <m:sty m:val="p"/>
          </m:rPr>
          <m:t>–</m:t>
        </m:r>
      </m:oMath>
      <w:r>
        <w:rPr>
          <w:b/>
          <w:bCs/>
        </w:rPr>
        <w:t xml:space="preserve">120 million tariff headwind</w:t>
      </w:r>
      <w:r>
        <w:t xml:space="preserve"> </w:t>
      </w:r>
      <w:r>
        <w:t xml:space="preserve">for 2026. It had not booked potential tariff refunds as of 1Q because the process, timing, and ultimate recovery remain uncertain. Investors should treat any discussion of refunds as upside optionality rather than embedded earnings support unless the company actually recognizes a benefit.</w:t>
      </w:r>
    </w:p>
    <w:p>
      <w:r>
        <w:pict>
          <v:rect style="width:0;height:1.5pt" o:hralign="center" o:hrstd="t" o:hr="t"/>
        </w:pict>
      </w:r>
    </w:p>
    <w:bookmarkEnd w:id="15"/>
    <w:bookmarkStart w:id="16" w:name="X7be1e6e56510b925a5e80a678036e8c09b889cd"/>
    <w:p>
      <w:pPr>
        <w:pStyle w:val="Heading2"/>
      </w:pPr>
      <w:r>
        <w:t xml:space="preserve">Cash flow and balance sheet: an important second-half proof point</w:t>
      </w:r>
    </w:p>
    <w:p>
      <w:pPr>
        <w:pStyle w:val="FirstParagraph"/>
      </w:pPr>
      <w:r>
        <w:t xml:space="preserve">The first quarter’s negative free cash flow was expected, but the company must now demonstrate the expected conversion as the year progresses.</w:t>
      </w:r>
    </w:p>
    <w:p>
      <w:pPr>
        <w:pStyle w:val="BodyText"/>
      </w:pPr>
      <w:r>
        <w:t xml:space="preserve">At the end of 1Q, Solventum reported:</w:t>
      </w:r>
    </w:p>
    <w:p>
      <w:pPr>
        <w:pStyle w:val="Compact"/>
        <w:numPr>
          <w:ilvl w:val="0"/>
          <w:numId w:val="1006"/>
        </w:numPr>
      </w:pPr>
      <w:r>
        <w:t xml:space="preserve">Cash and equivalents:</w:t>
      </w:r>
      <w:r>
        <w:t xml:space="preserve"> </w:t>
      </w:r>
      <w:r>
        <w:rPr>
          <w:b/>
          <w:bCs/>
        </w:rPr>
        <w:t xml:space="preserve">$561 million</w:t>
      </w:r>
    </w:p>
    <w:p>
      <w:pPr>
        <w:pStyle w:val="Compact"/>
        <w:numPr>
          <w:ilvl w:val="0"/>
          <w:numId w:val="1006"/>
        </w:numPr>
      </w:pPr>
      <w:r>
        <w:t xml:space="preserve">Net debt: approximately</w:t>
      </w:r>
      <w:r>
        <w:t xml:space="preserve"> </w:t>
      </w:r>
      <w:r>
        <w:rPr>
          <w:b/>
          <w:bCs/>
        </w:rPr>
        <w:t xml:space="preserve">$4.5 billion</w:t>
      </w:r>
    </w:p>
    <w:p>
      <w:pPr>
        <w:pStyle w:val="Compact"/>
        <w:numPr>
          <w:ilvl w:val="0"/>
          <w:numId w:val="1006"/>
        </w:numPr>
      </w:pPr>
      <w:r>
        <w:t xml:space="preserve">1Q free cash flow:</w:t>
      </w:r>
      <w:r>
        <w:t xml:space="preserve"> </w:t>
      </w:r>
      <w:r>
        <w:rPr>
          <w:b/>
          <w:bCs/>
        </w:rPr>
        <w:t xml:space="preserve">$(273) million</w:t>
      </w:r>
    </w:p>
    <w:p>
      <w:pPr>
        <w:pStyle w:val="Compact"/>
        <w:numPr>
          <w:ilvl w:val="0"/>
          <w:numId w:val="1006"/>
        </w:numPr>
      </w:pPr>
      <w:r>
        <w:t xml:space="preserve">FY26 free-cash-flow target: approximately</w:t>
      </w:r>
      <w:r>
        <w:t xml:space="preserve"> </w:t>
      </w:r>
      <w:r>
        <w:rPr>
          <w:b/>
          <w:bCs/>
        </w:rPr>
        <w:t xml:space="preserve">$200 million</w:t>
      </w:r>
    </w:p>
    <w:p>
      <w:pPr>
        <w:pStyle w:val="FirstParagraph"/>
      </w:pPr>
      <w:r>
        <w:t xml:space="preserve">Management has described 1Q as the year’s low point for cash generation and expects 4Q to be the strongest quarter, aided by lower separation spending and normal tax, interest, and working-capital timing.</w:t>
      </w:r>
    </w:p>
    <w:p>
      <w:pPr>
        <w:pStyle w:val="BodyText"/>
      </w:pPr>
      <w:r>
        <w:t xml:space="preserve">For 2Q, the market will be looking for a clear improvement in operating cash flow and confirmation that the company can fund:</w:t>
      </w:r>
    </w:p>
    <w:p>
      <w:pPr>
        <w:pStyle w:val="Compact"/>
        <w:numPr>
          <w:ilvl w:val="0"/>
          <w:numId w:val="1007"/>
        </w:numPr>
      </w:pPr>
      <w:r>
        <w:t xml:space="preserve">Separation and ERP work;</w:t>
      </w:r>
    </w:p>
    <w:p>
      <w:pPr>
        <w:pStyle w:val="Compact"/>
        <w:numPr>
          <w:ilvl w:val="0"/>
          <w:numId w:val="1007"/>
        </w:numPr>
      </w:pPr>
      <w:r>
        <w:t xml:space="preserve">Tuck-in M&amp;A;</w:t>
      </w:r>
    </w:p>
    <w:p>
      <w:pPr>
        <w:pStyle w:val="Compact"/>
        <w:numPr>
          <w:ilvl w:val="0"/>
          <w:numId w:val="1007"/>
        </w:numPr>
      </w:pPr>
      <w:r>
        <w:t xml:space="preserve">Share repurchases; and</w:t>
      </w:r>
    </w:p>
    <w:p>
      <w:pPr>
        <w:pStyle w:val="Compact"/>
        <w:numPr>
          <w:ilvl w:val="0"/>
          <w:numId w:val="1007"/>
        </w:numPr>
      </w:pPr>
      <w:r>
        <w:t xml:space="preserve">Ongoing debt management</w:t>
      </w:r>
    </w:p>
    <w:p>
      <w:pPr>
        <w:pStyle w:val="FirstParagraph"/>
      </w:pPr>
      <w:r>
        <w:t xml:space="preserve">without compromising the full-year free-cash-flow target.</w:t>
      </w:r>
    </w:p>
    <w:p>
      <w:r>
        <w:pict>
          <v:rect style="width:0;height:1.5pt" o:hralign="center" o:hrstd="t" o:hr="t"/>
        </w:pict>
      </w:r>
    </w:p>
    <w:bookmarkEnd w:id="16"/>
    <w:bookmarkStart w:id="17" w:name="X87d9598f3a385a5eb795a9927e9535ee3a2d742"/>
    <w:p>
      <w:pPr>
        <w:pStyle w:val="Heading2"/>
      </w:pPr>
      <w:r>
        <w:t xml:space="preserve">Capital allocation and portfolio strategy</w:t>
      </w:r>
    </w:p>
    <w:p>
      <w:pPr>
        <w:pStyle w:val="FirstParagraph"/>
      </w:pPr>
      <w:r>
        <w:t xml:space="preserve">Solventum is increasingly presenting itself as an active portfolio manager rather than simply a post-spin turnaround.</w:t>
      </w:r>
    </w:p>
    <w:p>
      <w:pPr>
        <w:pStyle w:val="BodyText"/>
      </w:pPr>
      <w:r>
        <w:t xml:space="preserve">Key items:</w:t>
      </w:r>
    </w:p>
    <w:p>
      <w:pPr>
        <w:pStyle w:val="Compact"/>
        <w:numPr>
          <w:ilvl w:val="0"/>
          <w:numId w:val="1008"/>
        </w:numPr>
      </w:pPr>
      <w:r>
        <w:t xml:space="preserve">The company completed the sale of its Purification &amp; Filtration business in 2025 for roughly</w:t>
      </w:r>
      <w:r>
        <w:t xml:space="preserve"> </w:t>
      </w:r>
      <w:r>
        <w:rPr>
          <w:b/>
          <w:bCs/>
        </w:rPr>
        <w:t xml:space="preserve">$4 billion</w:t>
      </w:r>
      <w:r>
        <w:t xml:space="preserve"> </w:t>
      </w:r>
      <w:r>
        <w:t xml:space="preserve">and used proceeds to reduce debt.</w:t>
      </w:r>
    </w:p>
    <w:p>
      <w:pPr>
        <w:pStyle w:val="Compact"/>
        <w:numPr>
          <w:ilvl w:val="0"/>
          <w:numId w:val="1008"/>
        </w:numPr>
      </w:pPr>
      <w:r>
        <w:t xml:space="preserve">It acquired Acera Surgical, expanding its presence in synthetic tissue matrices and advanced wound care.</w:t>
      </w:r>
    </w:p>
    <w:p>
      <w:pPr>
        <w:pStyle w:val="Compact"/>
        <w:numPr>
          <w:ilvl w:val="0"/>
          <w:numId w:val="1008"/>
        </w:numPr>
      </w:pPr>
      <w:r>
        <w:t xml:space="preserve">Its board has authorized up to</w:t>
      </w:r>
      <w:r>
        <w:t xml:space="preserve"> </w:t>
      </w:r>
      <m:oMath>
        <m:r>
          <m:t>1</m:t>
        </m:r>
        <m:r>
          <m:t>b</m:t>
        </m:r>
        <m:r>
          <m:t>i</m:t>
        </m:r>
        <m:r>
          <m:t>l</m:t>
        </m:r>
        <m:r>
          <m:t>l</m:t>
        </m:r>
        <m:r>
          <m:t>i</m:t>
        </m:r>
        <m:r>
          <m:t>o</m:t>
        </m:r>
        <m:r>
          <m:t>n</m:t>
        </m:r>
        <m:r>
          <m:rPr>
            <m:sty m:val="p"/>
          </m:rPr>
          <m:t>*</m:t>
        </m:r>
        <m:r>
          <m:rPr>
            <m:sty m:val="p"/>
          </m:rPr>
          <m:t>*</m:t>
        </m:r>
        <m:r>
          <m:t>i</m:t>
        </m:r>
        <m:r>
          <m:t>n</m:t>
        </m:r>
        <m:r>
          <m:t>s</m:t>
        </m:r>
        <m:r>
          <m:t>h</m:t>
        </m:r>
        <m:r>
          <m:t>a</m:t>
        </m:r>
        <m:r>
          <m:t>r</m:t>
        </m:r>
        <m:r>
          <m:t>e</m:t>
        </m:r>
        <m:r>
          <m:t>r</m:t>
        </m:r>
        <m:r>
          <m:t>e</m:t>
        </m:r>
        <m:r>
          <m:t>p</m:t>
        </m:r>
        <m:r>
          <m:t>u</m:t>
        </m:r>
        <m:r>
          <m:t>r</m:t>
        </m:r>
        <m:r>
          <m:t>c</m:t>
        </m:r>
        <m:r>
          <m:t>h</m:t>
        </m:r>
        <m:r>
          <m:t>a</m:t>
        </m:r>
        <m:r>
          <m:t>s</m:t>
        </m:r>
        <m:r>
          <m:t>e</m:t>
        </m:r>
        <m:r>
          <m:t>s</m:t>
        </m:r>
        <m:r>
          <m:rPr>
            <m:sty m:val="p"/>
          </m:rPr>
          <m:t>;</m:t>
        </m:r>
        <m:r>
          <m:t>S</m:t>
        </m:r>
        <m:r>
          <m:t>o</m:t>
        </m:r>
        <m:r>
          <m:t>l</m:t>
        </m:r>
        <m:r>
          <m:t>v</m:t>
        </m:r>
        <m:r>
          <m:t>e</m:t>
        </m:r>
        <m:r>
          <m:t>n</m:t>
        </m:r>
        <m:r>
          <m:t>t</m:t>
        </m:r>
        <m:r>
          <m:t>u</m:t>
        </m:r>
        <m:r>
          <m:t>m</m:t>
        </m:r>
        <m:r>
          <m:t>b</m:t>
        </m:r>
        <m:r>
          <m:t>o</m:t>
        </m:r>
        <m:r>
          <m:t>u</m:t>
        </m:r>
        <m:r>
          <m:t>g</m:t>
        </m:r>
        <m:r>
          <m:t>h</m:t>
        </m:r>
        <m:r>
          <m:t>t</m:t>
        </m:r>
        <m:r>
          <m:rPr>
            <m:sty m:val="p"/>
          </m:rPr>
          <m:t>*</m:t>
        </m:r>
        <m:r>
          <m:rPr>
            <m:sty m:val="p"/>
          </m:rPr>
          <m:t>*</m:t>
        </m:r>
      </m:oMath>
      <w:r>
        <w:rPr>
          <w:b/>
          <w:bCs/>
        </w:rPr>
        <w:t xml:space="preserve">67 million</w:t>
      </w:r>
      <w:r>
        <w:t xml:space="preserve"> </w:t>
      </w:r>
      <w:r>
        <w:t xml:space="preserve">of stock in 1Q.</w:t>
      </w:r>
    </w:p>
    <w:p>
      <w:pPr>
        <w:pStyle w:val="Compact"/>
        <w:numPr>
          <w:ilvl w:val="0"/>
          <w:numId w:val="1008"/>
        </w:numPr>
      </w:pPr>
      <w:r>
        <w:t xml:space="preserve">Management has signaled interest in additional tuck-in acquisitions and has also emphasized ongoing review of businesses for strategic and financial fit.</w:t>
      </w:r>
    </w:p>
    <w:p>
      <w:pPr>
        <w:pStyle w:val="FirstParagraph"/>
      </w:pPr>
      <w:r>
        <w:t xml:space="preserve">An update on buyback pacing, Acera integration, and the potential for further portfolio actions could matter nearly as much as quarterly EPS.</w:t>
      </w:r>
    </w:p>
    <w:p>
      <w:r>
        <w:pict>
          <v:rect style="width:0;height:1.5pt" o:hralign="center" o:hrstd="t" o:hr="t"/>
        </w:pict>
      </w:r>
    </w:p>
    <w:bookmarkEnd w:id="17"/>
    <w:bookmarkStart w:id="18" w:name="Xbd387e6945e4f8041a6d261415ff095ee34f0ee"/>
    <w:p>
      <w:pPr>
        <w:pStyle w:val="Heading2"/>
      </w:pPr>
      <w:r>
        <w:t xml:space="preserve">What would constitute a constructive report</w:t>
      </w:r>
    </w:p>
    <w:p>
      <w:pPr>
        <w:pStyle w:val="FirstParagraph"/>
      </w:pPr>
      <w:r>
        <w:t xml:space="preserve">A positive 2Q setup would include:</w:t>
      </w:r>
    </w:p>
    <w:p>
      <w:pPr>
        <w:pStyle w:val="Compact"/>
        <w:numPr>
          <w:ilvl w:val="0"/>
          <w:numId w:val="1009"/>
        </w:numPr>
      </w:pPr>
      <w:r>
        <w:rPr>
          <w:b/>
          <w:bCs/>
        </w:rPr>
        <w:t xml:space="preserve">Organic growth within or above the full-year 2–3% range after adjusting for ERP timing</w:t>
      </w:r>
    </w:p>
    <w:p>
      <w:pPr>
        <w:pStyle w:val="Compact"/>
        <w:numPr>
          <w:ilvl w:val="0"/>
          <w:numId w:val="1009"/>
        </w:numPr>
      </w:pPr>
      <w:r>
        <w:t xml:space="preserve">Explicit disclosure of the</w:t>
      </w:r>
      <w:r>
        <w:t xml:space="preserve"> </w:t>
      </w:r>
      <w:r>
        <w:rPr>
          <w:b/>
          <w:bCs/>
        </w:rPr>
        <w:t xml:space="preserve">dollar amount and segment allocation</w:t>
      </w:r>
      <w:r>
        <w:t xml:space="preserve"> </w:t>
      </w:r>
      <w:r>
        <w:t xml:space="preserve">of advanced orders</w:t>
      </w:r>
    </w:p>
    <w:p>
      <w:pPr>
        <w:pStyle w:val="Compact"/>
        <w:numPr>
          <w:ilvl w:val="0"/>
          <w:numId w:val="1009"/>
        </w:numPr>
      </w:pPr>
      <w:r>
        <w:t xml:space="preserve">Confirmation that the 3Q ERP implementation is adequately de-risked</w:t>
      </w:r>
    </w:p>
    <w:p>
      <w:pPr>
        <w:pStyle w:val="Compact"/>
        <w:numPr>
          <w:ilvl w:val="0"/>
          <w:numId w:val="1009"/>
        </w:numPr>
      </w:pPr>
      <w:r>
        <w:t xml:space="preserve">Continued margin progress despite tariff and inflation pressure</w:t>
      </w:r>
    </w:p>
    <w:p>
      <w:pPr>
        <w:pStyle w:val="Compact"/>
        <w:numPr>
          <w:ilvl w:val="0"/>
          <w:numId w:val="1009"/>
        </w:numPr>
      </w:pPr>
      <w:r>
        <w:t xml:space="preserve">Maintained or raised EPS guidance, ideally with continued confidence in the high end of</w:t>
      </w:r>
      <w:r>
        <w:t xml:space="preserve"> </w:t>
      </w:r>
      <m:oMath>
        <m:r>
          <m:t>6.40</m:t>
        </m:r>
        <m:r>
          <m:rPr>
            <m:sty m:val="p"/>
          </m:rPr>
          <m:t>–</m:t>
        </m:r>
      </m:oMath>
      <w:r>
        <w:rPr>
          <w:b/>
          <w:bCs/>
        </w:rPr>
        <w:t xml:space="preserve">6.60</w:t>
      </w:r>
    </w:p>
    <w:p>
      <w:pPr>
        <w:pStyle w:val="Compact"/>
        <w:numPr>
          <w:ilvl w:val="0"/>
          <w:numId w:val="1009"/>
        </w:numPr>
      </w:pPr>
      <w:r>
        <w:t xml:space="preserve">Improving cash-flow trajectory toward the</w:t>
      </w:r>
      <w:r>
        <w:t xml:space="preserve"> </w:t>
      </w:r>
      <w:r>
        <w:rPr>
          <w:b/>
          <w:bCs/>
        </w:rPr>
        <w:t xml:space="preserve">~$200 million</w:t>
      </w:r>
      <w:r>
        <w:t xml:space="preserve"> </w:t>
      </w:r>
      <w:r>
        <w:t xml:space="preserve">full-year target</w:t>
      </w:r>
    </w:p>
    <w:p>
      <w:pPr>
        <w:pStyle w:val="Compact"/>
        <w:numPr>
          <w:ilvl w:val="0"/>
          <w:numId w:val="1009"/>
        </w:numPr>
      </w:pPr>
      <w:r>
        <w:t xml:space="preserve">Durable growth in HIS and evidence that MedSurg is improving beyond temporary timing effects</w:t>
      </w:r>
    </w:p>
    <w:p>
      <w:r>
        <w:pict>
          <v:rect style="width:0;height:1.5pt" o:hralign="center" o:hrstd="t" o:hr="t"/>
        </w:pict>
      </w:r>
    </w:p>
    <w:bookmarkEnd w:id="18"/>
    <w:bookmarkStart w:id="19" w:name="what-could-disappoint"/>
    <w:p>
      <w:pPr>
        <w:pStyle w:val="Heading2"/>
      </w:pPr>
      <w:r>
        <w:t xml:space="preserve">What could disappoint</w:t>
      </w:r>
    </w:p>
    <w:p>
      <w:pPr>
        <w:pStyle w:val="FirstParagraph"/>
      </w:pPr>
      <w:r>
        <w:t xml:space="preserve">The key downside scenarios are:</w:t>
      </w:r>
    </w:p>
    <w:p>
      <w:pPr>
        <w:pStyle w:val="Compact"/>
        <w:numPr>
          <w:ilvl w:val="0"/>
          <w:numId w:val="1010"/>
        </w:numPr>
      </w:pPr>
      <w:r>
        <w:rPr>
          <w:b/>
          <w:bCs/>
        </w:rPr>
        <w:t xml:space="preserve">A headline beat driven overwhelmingly by pull-forward orders</w:t>
      </w:r>
      <w:r>
        <w:t xml:space="preserve">, with soft underlying growth.</w:t>
      </w:r>
    </w:p>
    <w:p>
      <w:pPr>
        <w:pStyle w:val="Compact"/>
        <w:numPr>
          <w:ilvl w:val="0"/>
          <w:numId w:val="1010"/>
        </w:numPr>
      </w:pPr>
      <w:r>
        <w:rPr>
          <w:b/>
          <w:bCs/>
        </w:rPr>
        <w:t xml:space="preserve">Weak MedSurg growth</w:t>
      </w:r>
      <w:r>
        <w:t xml:space="preserve">, particularly if IP&amp;SS remains muted after normalizing for the timing benefit.</w:t>
      </w:r>
    </w:p>
    <w:p>
      <w:pPr>
        <w:pStyle w:val="Compact"/>
        <w:numPr>
          <w:ilvl w:val="0"/>
          <w:numId w:val="1010"/>
        </w:numPr>
      </w:pPr>
      <w:r>
        <w:rPr>
          <w:b/>
          <w:bCs/>
        </w:rPr>
        <w:t xml:space="preserve">Margin pressure</w:t>
      </w:r>
      <w:r>
        <w:t xml:space="preserve"> </w:t>
      </w:r>
      <w:r>
        <w:t xml:space="preserve">from tariffs, freight, or separation costs that calls the 21.0–21.5% operating-margin target into question.</w:t>
      </w:r>
    </w:p>
    <w:p>
      <w:pPr>
        <w:pStyle w:val="Compact"/>
        <w:numPr>
          <w:ilvl w:val="0"/>
          <w:numId w:val="1010"/>
        </w:numPr>
      </w:pPr>
      <w:r>
        <w:rPr>
          <w:b/>
          <w:bCs/>
        </w:rPr>
        <w:t xml:space="preserve">ERP implementation caution</w:t>
      </w:r>
      <w:r>
        <w:t xml:space="preserve">, including evidence that customer-service or distribution risk is greater than management had indicated.</w:t>
      </w:r>
    </w:p>
    <w:p>
      <w:pPr>
        <w:pStyle w:val="Compact"/>
        <w:numPr>
          <w:ilvl w:val="0"/>
          <w:numId w:val="1010"/>
        </w:numPr>
      </w:pPr>
      <w:r>
        <w:rPr>
          <w:b/>
          <w:bCs/>
        </w:rPr>
        <w:t xml:space="preserve">Free-cash-flow weakness</w:t>
      </w:r>
      <w:r>
        <w:t xml:space="preserve"> </w:t>
      </w:r>
      <w:r>
        <w:t xml:space="preserve">that increases concern around leverage and capital-allocation flexibility.</w:t>
      </w:r>
    </w:p>
    <w:p>
      <w:pPr>
        <w:pStyle w:val="Compact"/>
        <w:numPr>
          <w:ilvl w:val="0"/>
          <w:numId w:val="1010"/>
        </w:numPr>
      </w:pPr>
      <w:r>
        <w:rPr>
          <w:b/>
          <w:bCs/>
        </w:rPr>
        <w:t xml:space="preserve">No guidance improvement</w:t>
      </w:r>
      <w:r>
        <w:t xml:space="preserve"> </w:t>
      </w:r>
      <w:r>
        <w:t xml:space="preserve">despite a very favorable 2Q sales phasing benefit.</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Solventum’s 2Q report is likely to look strong on the surface because of ERP-related distributor ordering. The more consequential question is whether the company can prove that its underlying commercial engine is strengthening enough to support its long-range growth and margin targets after that temporary revenue benefit reverses in 3Q.</w:t>
      </w:r>
    </w:p>
    <w:p>
      <w:pPr>
        <w:pStyle w:val="BodyText"/>
      </w:pPr>
      <w:r>
        <w:t xml:space="preserve">A clean normalization bridge, durable segment growth—especially in MedSurg and HIS—continued savings execution, and firm guidance would support the improving turnaround narrative. Conversely, ambiguity around underlying growth or the U.S. ERP cutover could limit upside after the stock’s substantial run into the event.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2026-08-05T00:49:40Z</dcterms:created>
  <dcterms:modified xsi:type="dcterms:W3CDTF">2026-08-05T00:49:40Z</dcterms:modified>
</cp:coreProperties>
</file>

<file path=docProps/custom.xml><?xml version="1.0" encoding="utf-8"?>
<Properties xmlns="http://schemas.openxmlformats.org/officeDocument/2006/custom-properties" xmlns:vt="http://schemas.openxmlformats.org/officeDocument/2006/docPropsVTypes"/>
</file>