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pg-earnings-predictions--2026-08-10"/>
    <w:p>
      <w:pPr>
        <w:pStyle w:val="Heading1"/>
      </w:pPr>
      <w:r>
        <w:t xml:space="preserve">SPG Earnings Predictions — 2026-08-10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Real Estate FFO per share (Q2)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3.20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3.15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Domestic property NOI growth (Q2 YoY)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~+5.5% vs. cons ~+4.0%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Ending occupancy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~96.2% vs. cons ~96.1%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Real Estate FFO/sh guidance (raise)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13.20</m:t>
              </m:r>
              <m:r>
                <m:rPr>
                  <m:sty m:val="p"/>
                </m:rPr>
                <m:t>−</m:t>
              </m:r>
            </m:oMath>
            <w:r>
              <w:t xml:space="preserve">13.35 (mid ~</w:t>
            </w:r>
            <m:oMath>
              <m:r>
                <m:t>13.28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13.22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dividend declaration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2.25</m:t>
              </m:r>
              <m:r>
                <m:rPr>
                  <m:sty m:val="p"/>
                </m:rPr>
                <m:t>−</m:t>
              </m:r>
            </m:oMath>
            <w:r>
              <w:t xml:space="preserve">2.30 vs. cons ~$2.25 (Q3 2026, +~7% YoY)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domestic NOI growth framing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'at least 3%' vs. cons ~4-5% actual trend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interest expense/lower interest income headwind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0.25</m:t>
              </m:r>
              <m:r>
                <m:rPr>
                  <m:sty m:val="p"/>
                </m:rPr>
                <m:t>−</m:t>
              </m:r>
            </m:oMath>
            <w:r>
              <w:t xml:space="preserve">0.30 drag vs. cons ~$0.28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-0.8% (FADE)</w:t>
            </w:r>
          </w:p>
        </w:tc>
        <w:tc>
          <w:tcPr/>
          <w:p>
            <w:pPr>
              <w:pStyle w:val="Compact"/>
            </w:pPr>
            <w:r>
              <w:t xml:space="preserve">Base case is a modest beat-and-raise, but the stock is up ~21% YTD and only ~6% off late-July highs, so a small guidance nudge is largely priced. The out-period math works against follow-through: strong reported NOI (~5.5%) is flattered ~120bps by the Taubman/TRG consolidation that fades into Q4, so forward organic NOI/FFO estimates get only modestly revised (or held) even after the headline beat, while a persistent ~</w:t>
            </w:r>
            <m:oMath>
              <m:r>
                <m:t>0.25</m:t>
              </m:r>
              <m:r>
                <m:rPr>
                  <m:sty m:val="p"/>
                </m:rPr>
                <m:t>−</m:t>
              </m:r>
            </m:oMath>
            <w:r>
              <w:t xml:space="preserve">0.30 rate headwind and muted buybacks at $220+ cap upside. Expect an initial pop that partially fades over the week toward slightly negative residual as investors fade the decel-into-year-end narrative.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2026-08-10T00:04:20Z</dcterms:created>
  <dcterms:modified xsi:type="dcterms:W3CDTF">2026-08-10T00:04:20Z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