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SPG (Simon Property Group) before writing the preview. Let me gather recent filings, earnings history, and news.Let me read the most recent earnings call transcript and release, plus check for news and the prior quarter.Now let me check recent news, stock price performance, and the prior-year Q2 for comparison context.Let me pull the prior-year Q2 (2025Q2) release for the year-over-year comparison base.I now have everything I need. Here's the earnings preview.</w:t>
      </w:r>
    </w:p>
    <w:p>
      <w:r>
        <w:pict>
          <v:rect style="width:0;height:1.5pt" o:hralign="center" o:hrstd="t" o:hr="t"/>
        </w:pict>
      </w:r>
    </w:p>
    <w:bookmarkStart w:id="16" w:name="X15b67e4f89bd53797ff2fa17f7ec4bf3e3c79c4"/>
    <w:p>
      <w:pPr>
        <w:pStyle w:val="Heading1"/>
      </w:pPr>
      <w:r>
        <w:t xml:space="preserve">Simon Property Group (SPG) — Q2 2026 Earnings Preview</w:t>
      </w:r>
    </w:p>
    <w:bookmarkStart w:id="9" w:name="Xccbb83dc667081f2d0edf3c73afc1f0bad37078"/>
    <w:p>
      <w:pPr>
        <w:pStyle w:val="Heading3"/>
      </w:pPr>
      <w:r>
        <w:t xml:space="preserve">Reports after the close Monday, August 10, 2026 (call 5:00 p.m. ET)</w:t>
      </w:r>
    </w:p>
    <w:bookmarkEnd w:id="9"/>
    <w:bookmarkStart w:id="10" w:name="the-one-line-setup"/>
    <w:p>
      <w:pPr>
        <w:pStyle w:val="Heading2"/>
      </w:pPr>
      <w:r>
        <w:t xml:space="preserve">The one-line setup</w:t>
      </w:r>
    </w:p>
    <w:p>
      <w:pPr>
        <w:pStyle w:val="FirstParagraph"/>
      </w:pPr>
      <w:r>
        <w:t xml:space="preserve">SPG heads into Q2 as one of 2026's best-performing large-cap REITs, riding accelerating tenant sales, a raised full-year outlook, and the successful Taubman buy-in — but the stock has already re-rated hard, and this will be the first "clean" quarter investors dissect fully under new CEO</w:t>
      </w:r>
      <w:r>
        <w:t xml:space="preserve"> </w:t>
      </w:r>
      <w:r>
        <w:rPr>
          <w:b/>
          <w:bCs/>
        </w:rPr>
        <w:t xml:space="preserve">Eli Simon</w:t>
      </w:r>
      <w:r>
        <w:t xml:space="preserve"> </w:t>
      </w:r>
      <w:r>
        <w:t xml:space="preserve">following the death of longtime Chairman/CEO David Simon. The bar is high; the question is whether another guidance raise is coming or whether a rich valuation limits the upside.</w:t>
      </w:r>
    </w:p>
    <w:p>
      <w:r>
        <w:pict>
          <v:rect style="width:0;height:1.5pt" o:hralign="center" o:hrstd="t" o:hr="t"/>
        </w:pict>
      </w:r>
    </w:p>
    <w:bookmarkEnd w:id="10"/>
    <w:bookmarkStart w:id="11" w:name="X82947f9e82fd0c23ac5bf4fe808bb4cba29b007"/>
    <w:p>
      <w:pPr>
        <w:pStyle w:val="Heading2"/>
      </w:pPr>
      <w:r>
        <w:t xml:space="preserve">1. Why this print matters more than usual</w:t>
      </w:r>
    </w:p>
    <w:p>
      <w:pPr>
        <w:pStyle w:val="FirstParagraph"/>
      </w:pPr>
      <w:r>
        <w:rPr>
          <w:b/>
          <w:bCs/>
        </w:rPr>
        <w:t xml:space="preserve">Leadership transition is the overhang no model captures.</w:t>
      </w:r>
      <w:r>
        <w:t xml:space="preserve"> </w:t>
      </w:r>
      <w:r>
        <w:t xml:space="preserve">On the Q1 call (May 11), Eli Simon opened by thanking those who sent condolences "following my father's passing," and the very first analyst question was about the leadership transition and whether strategy or capital allocation would change. Management's answer was emphatically "business as usual," and Q1 results beat plan — but Q2 is the first full quarter with Eli Simon firmly established as President/CEO/COO. Watch tone, capital-allocation signaling, and any org/succession commentary. Note that Q1 reported FFO absorbed</w:t>
      </w:r>
      <w:r>
        <w:t xml:space="preserve"> </w:t>
      </w:r>
      <m:oMath>
        <m:r>
          <m:t>40</m:t>
        </m:r>
        <m:r>
          <m:t>M</m:t>
        </m:r>
        <m:r>
          <m:rPr>
            <m:sty m:val="p"/>
          </m:rPr>
          <m:t>(</m:t>
        </m:r>
      </m:oMath>
      <w:r>
        <w:rPr>
          <w:b/>
          <w:bCs/>
        </w:rPr>
        <w:t xml:space="preserve">0.10/sh) of accelerated stock-comp expense</w:t>
      </w:r>
      <w:r>
        <w:t xml:space="preserve"> </w:t>
      </w:r>
      <w:r>
        <w:t xml:space="preserve">tied to the transition; that headwind should not recur in Q2, which flatters the reported-FFO comparison.</w:t>
      </w:r>
    </w:p>
    <w:p>
      <w:pPr>
        <w:pStyle w:val="BodyText"/>
      </w:pPr>
      <w:r>
        <w:rPr>
          <w:b/>
          <w:bCs/>
        </w:rPr>
        <w:t xml:space="preserve">The stock has run.</w:t>
      </w:r>
      <w:r>
        <w:t xml:space="preserve"> </w:t>
      </w:r>
      <w:r>
        <w:t xml:space="preserve">SPG has climbed from ~</w:t>
      </w:r>
      <m:oMath>
        <m:r>
          <m:t>184</m:t>
        </m:r>
        <m:r>
          <m:t>a</m:t>
        </m:r>
        <m:r>
          <m:t>t</m:t>
        </m:r>
        <m:r>
          <m:t>t</m:t>
        </m:r>
        <m:r>
          <m:t>h</m:t>
        </m:r>
        <m:r>
          <m:t>e</m:t>
        </m:r>
        <m:r>
          <m:t>s</m:t>
        </m:r>
        <m:r>
          <m:t>t</m:t>
        </m:r>
        <m:r>
          <m:t>a</m:t>
        </m:r>
        <m:r>
          <m:t>r</m:t>
        </m:r>
        <m:r>
          <m:t>t</m:t>
        </m:r>
        <m:r>
          <m:t>o</m:t>
        </m:r>
        <m:r>
          <m:t>f</m:t>
        </m:r>
        <m:r>
          <m:t>J</m:t>
        </m:r>
        <m:r>
          <m:t>a</m:t>
        </m:r>
        <m:r>
          <m:t>n</m:t>
        </m:r>
        <m:r>
          <m:t>u</m:t>
        </m:r>
        <m:r>
          <m:t>a</m:t>
        </m:r>
        <m:r>
          <m:t>r</m:t>
        </m:r>
        <m:r>
          <m:t>y</m:t>
        </m:r>
        <m:r>
          <m:t>t</m:t>
        </m:r>
        <m:r>
          <m:t>o</m:t>
        </m:r>
        <m:r>
          <m:t>a</m:t>
        </m:r>
        <m:r>
          <m:t>p</m:t>
        </m:r>
        <m:r>
          <m:t>e</m:t>
        </m:r>
        <m:r>
          <m:t>a</m:t>
        </m:r>
        <m:r>
          <m:t>k</m:t>
        </m:r>
        <m:r>
          <m:t>n</m:t>
        </m:r>
        <m:r>
          <m:t>e</m:t>
        </m:r>
        <m:r>
          <m:t>a</m:t>
        </m:r>
        <m:r>
          <m:t>r</m:t>
        </m:r>
        <m:r>
          <m:rPr>
            <m:sty m:val="p"/>
          </m:rPr>
          <m:t>*</m:t>
        </m:r>
        <m:r>
          <m:rPr>
            <m:sty m:val="p"/>
          </m:rPr>
          <m:t>*</m:t>
        </m:r>
      </m:oMath>
      <w:r>
        <w:t xml:space="preserve">237 in late July**, before easing to ~</w:t>
      </w:r>
      <m:oMath>
        <m:r>
          <m:t>223</m:t>
        </m:r>
        <m:r>
          <m:t>b</m:t>
        </m:r>
        <m:r>
          <m:t>y</m:t>
        </m:r>
        <m:r>
          <m:t>A</m:t>
        </m:r>
        <m:r>
          <m:t>u</m:t>
        </m:r>
        <m:r>
          <m:t>g</m:t>
        </m:r>
        <m:r>
          <m:t>7</m:t>
        </m:r>
        <m:r>
          <m:rPr>
            <m:sty m:val="p"/>
          </m:rPr>
          <m:t>—</m:t>
        </m:r>
        <m:r>
          <m:t>r</m:t>
        </m:r>
        <m:r>
          <m:t>o</m:t>
        </m:r>
        <m:r>
          <m:t>u</m:t>
        </m:r>
        <m:r>
          <m:t>g</m:t>
        </m:r>
        <m:r>
          <m:t>h</m:t>
        </m:r>
        <m:r>
          <m:t>l</m:t>
        </m:r>
        <m:r>
          <m:t>y</m:t>
        </m:r>
        <m:r>
          <m:rPr>
            <m:sty m:val="p"/>
          </m:rPr>
          <m:t>+</m:t>
        </m:r>
        <m:r>
          <m:t>21</m:t>
        </m:r>
      </m:oMath>
      <w:r>
        <w:t xml:space="preserve">237 (Jul 28) to ~$222 (Aug 7) in the two weeks into the print — some froth has come out, but the valuation still leaves little room for a soft quarter or a failure to raise guidance.</w:t>
      </w:r>
    </w:p>
    <w:p>
      <w:r>
        <w:pict>
          <v:rect style="width:0;height:1.5pt" o:hralign="center" o:hrstd="t" o:hr="t"/>
        </w:pict>
      </w:r>
    </w:p>
    <w:bookmarkEnd w:id="11"/>
    <w:bookmarkStart w:id="12" w:name="X7fbde066ed598cc2572198fa01e6432e3a0db4d"/>
    <w:p>
      <w:pPr>
        <w:pStyle w:val="Heading2"/>
      </w:pPr>
      <w:r>
        <w:t xml:space="preserve">2. What the numbers should look like</w:t>
      </w:r>
    </w:p>
    <w:p>
      <w:pPr>
        <w:pStyle w:val="FirstParagraph"/>
      </w:pPr>
      <w:r>
        <w:rPr>
          <w:b/>
          <w:bCs/>
        </w:rPr>
        <w:t xml:space="preserve">Prior-year base (Q2 2025):</w:t>
      </w:r>
    </w:p>
    <w:p>
      <w:pPr>
        <w:pStyle w:val="Compact"/>
        <w:numPr>
          <w:ilvl w:val="0"/>
          <w:numId w:val="1001"/>
        </w:numPr>
      </w:pPr>
      <w:r>
        <w:t xml:space="preserve">Real Estate FFO:</w:t>
      </w:r>
      <w:r>
        <w:t xml:space="preserve"> </w:t>
      </w:r>
      <w:r>
        <w:rPr>
          <w:b/>
          <w:bCs/>
        </w:rPr>
        <w:t xml:space="preserve">$3.05/sh</w:t>
      </w:r>
      <w:r>
        <w:t xml:space="preserve"> </w:t>
      </w:r>
      <w:r>
        <w:t xml:space="preserve">(+4.1% YoY)</w:t>
      </w:r>
    </w:p>
    <w:p>
      <w:pPr>
        <w:pStyle w:val="Compact"/>
        <w:numPr>
          <w:ilvl w:val="0"/>
          <w:numId w:val="1001"/>
        </w:numPr>
      </w:pPr>
      <w:r>
        <w:t xml:space="preserve">Net income: $1.70/sh</w:t>
      </w:r>
    </w:p>
    <w:p>
      <w:pPr>
        <w:pStyle w:val="Compact"/>
        <w:numPr>
          <w:ilvl w:val="0"/>
          <w:numId w:val="1001"/>
        </w:numPr>
      </w:pPr>
      <w:r>
        <w:t xml:space="preserve">Domestic NOI +4.2%; Portfolio NOI +4.7%</w:t>
      </w:r>
    </w:p>
    <w:p>
      <w:pPr>
        <w:pStyle w:val="Compact"/>
        <w:numPr>
          <w:ilvl w:val="0"/>
          <w:numId w:val="1001"/>
        </w:numPr>
      </w:pPr>
      <w:r>
        <w:t xml:space="preserve">Occupancy 96.0%; base min rent $58.70 (+1.3%); retailer sales $736/sf</w:t>
      </w:r>
    </w:p>
    <w:p>
      <w:pPr>
        <w:pStyle w:val="FirstParagraph"/>
      </w:pPr>
      <w:r>
        <w:rPr>
          <w:b/>
          <w:bCs/>
        </w:rPr>
        <w:t xml:space="preserve">The Q1 2026 momentum it's building on:</w:t>
      </w:r>
    </w:p>
    <w:p>
      <w:pPr>
        <w:pStyle w:val="Compact"/>
        <w:numPr>
          <w:ilvl w:val="0"/>
          <w:numId w:val="1002"/>
        </w:numPr>
      </w:pPr>
      <w:r>
        <w:t xml:space="preserve">Real Estate FFO</w:t>
      </w:r>
      <w:r>
        <w:t xml:space="preserve"> </w:t>
      </w:r>
      <w:r>
        <w:rPr>
          <w:b/>
          <w:bCs/>
        </w:rPr>
        <w:t xml:space="preserve">$3.17/sh</w:t>
      </w:r>
      <w:r>
        <w:t xml:space="preserve"> </w:t>
      </w:r>
      <w:r>
        <w:t xml:space="preserve">(+7.5% YoY)</w:t>
      </w:r>
    </w:p>
    <w:p>
      <w:pPr>
        <w:pStyle w:val="Compact"/>
        <w:numPr>
          <w:ilvl w:val="0"/>
          <w:numId w:val="1002"/>
        </w:numPr>
      </w:pPr>
      <w:r>
        <w:t xml:space="preserve">Domestic property NOI</w:t>
      </w:r>
      <w:r>
        <w:t xml:space="preserve"> </w:t>
      </w:r>
      <w:r>
        <w:rPr>
          <w:b/>
          <w:bCs/>
        </w:rPr>
        <w:t xml:space="preserve">+6.7%</w:t>
      </w:r>
      <w:r>
        <w:t xml:space="preserve"> </w:t>
      </w:r>
      <w:r>
        <w:t xml:space="preserve">(≈120 bps of which came from the Taubman/TRG buy-in)</w:t>
      </w:r>
    </w:p>
    <w:p>
      <w:pPr>
        <w:pStyle w:val="Compact"/>
        <w:numPr>
          <w:ilvl w:val="0"/>
          <w:numId w:val="1002"/>
        </w:numPr>
      </w:pPr>
      <w:r>
        <w:t xml:space="preserve">Occupancy 96.0%; base min rent</w:t>
      </w:r>
      <w:r>
        <w:t xml:space="preserve"> </w:t>
      </w:r>
      <m:oMath>
        <m:r>
          <m:t>61.99</m:t>
        </m:r>
        <m:r>
          <m:rPr>
            <m:sty m:val="p"/>
          </m:rPr>
          <m:t>(</m:t>
        </m:r>
        <m:r>
          <m:rPr>
            <m:sty m:val="p"/>
          </m:rPr>
          <m:t>+</m:t>
        </m:r>
        <m:r>
          <m:t>5.2</m:t>
        </m:r>
      </m:oMath>
      <w:r>
        <w:rPr>
          <w:b/>
          <w:bCs/>
        </w:rPr>
        <w:t xml:space="preserve">819/sf (+11.8%)</w:t>
      </w:r>
      <w:r>
        <w:t xml:space="preserve">, with comparable sales +6.5% and volume accelerating</w:t>
      </w:r>
    </w:p>
    <w:p>
      <w:pPr>
        <w:pStyle w:val="FirstParagraph"/>
      </w:pPr>
      <w:r>
        <w:rPr>
          <w:b/>
          <w:bCs/>
        </w:rPr>
        <w:t xml:space="preserve">What to expect Monday:</w:t>
      </w:r>
      <w:r>
        <w:t xml:space="preserve"> </w:t>
      </w:r>
      <w:r>
        <w:t xml:space="preserve">Full-year Real Estate FFO guidance stands at</w:t>
      </w:r>
      <w:r>
        <w:t xml:space="preserve"> </w:t>
      </w:r>
      <m:oMath>
        <m:r>
          <m:t>13.10</m:t>
        </m:r>
        <m:r>
          <m:rPr>
            <m:sty m:val="p"/>
          </m:rPr>
          <m:t>–</m:t>
        </m:r>
      </m:oMath>
      <w:r>
        <w:rPr>
          <w:b/>
          <w:bCs/>
        </w:rPr>
        <w:t xml:space="preserve">13.25</w:t>
      </w:r>
      <w:r>
        <w:t xml:space="preserve"> </w:t>
      </w:r>
      <w:r>
        <w:t xml:space="preserve">(midpoint +5% over 2025's $12.73). With Q1 already at</w:t>
      </w:r>
      <w:r>
        <w:t xml:space="preserve"> </w:t>
      </w:r>
      <m:oMath>
        <m:r>
          <m:t>3.17</m:t>
        </m:r>
        <m:r>
          <m:rPr>
            <m:sty m:val="p"/>
          </m:rPr>
          <m:t>,</m:t>
        </m:r>
        <m:r>
          <m:t>a</m:t>
        </m:r>
        <m:r>
          <m:t>Q</m:t>
        </m:r>
        <m:r>
          <m:t>2</m:t>
        </m:r>
        <m:r>
          <m:t>i</m:t>
        </m:r>
        <m:r>
          <m:t>n</m:t>
        </m:r>
        <m:r>
          <m:t>t</m:t>
        </m:r>
        <m:r>
          <m:t>h</m:t>
        </m:r>
        <m:r>
          <m:t>e</m:t>
        </m:r>
        <m:r>
          <m:rPr>
            <m:sty m:val="p"/>
          </m:rPr>
          <m:t>*</m:t>
        </m:r>
        <m:r>
          <m:rPr>
            <m:sty m:val="p"/>
          </m:rPr>
          <m:t>*</m:t>
        </m:r>
        <m:r>
          <m:t> </m:t>
        </m:r>
      </m:oMath>
      <w:r>
        <w:t xml:space="preserve">3.15–$3.25** range would keep the year comfortably on track. Given SPG's multi-year habit of beating and raising (it raised the FY outlook at both the 2025Q2 and 2026Q1 prints), the base case is a solid beat and a</w:t>
      </w:r>
      <w:r>
        <w:t xml:space="preserve"> </w:t>
      </w:r>
      <w:r>
        <w:rPr>
          <w:b/>
          <w:bCs/>
        </w:rPr>
        <w:t xml:space="preserve">guidance bump plus another dividend increase</w:t>
      </w:r>
      <w:r>
        <w:t xml:space="preserve"> </w:t>
      </w:r>
      <w:r>
        <w:t xml:space="preserve">— the question is magnitude.</w:t>
      </w:r>
    </w:p>
    <w:p>
      <w:pPr>
        <w:pStyle w:val="BodyText"/>
      </w:pPr>
      <w:r>
        <w:rPr>
          <w:b/>
          <w:bCs/>
        </w:rPr>
        <w:t xml:space="preserve">On NOI, mind the decel narrative.</w:t>
      </w:r>
      <w:r>
        <w:t xml:space="preserve"> </w:t>
      </w:r>
      <w:r>
        <w:t xml:space="preserve">Management guides to "at least 3%" domestic NOI growth (a conservative multi-year framing). Q1's 6.7% was boosted ~120 bps by consolidating the final 12% of Taubman (closed Nov 1, 2025); that inorganic lift persists through Q2/Q3 and fades into Q4. Underlying organic growth was ~5.5% in Q1. Expect Q2 NOI growth to again print well above the 3% guide — a headline "deceleration" toward year-end is arithmetic, not a fundamentals problem, and management will likely stress that.</w:t>
      </w:r>
    </w:p>
    <w:p>
      <w:r>
        <w:pict>
          <v:rect style="width:0;height:1.5pt" o:hralign="center" o:hrstd="t" o:hr="t"/>
        </w:pict>
      </w:r>
    </w:p>
    <w:bookmarkEnd w:id="12"/>
    <w:bookmarkStart w:id="13" w:name="X7ec65b7a1c2e76a243ed3504e741bee807fd343"/>
    <w:p>
      <w:pPr>
        <w:pStyle w:val="Heading2"/>
      </w:pPr>
      <w:r>
        <w:t xml:space="preserve">3. The five things I'd focus on in the call</w:t>
      </w:r>
    </w:p>
    <w:p>
      <w:pPr>
        <w:pStyle w:val="FirstParagraph"/>
      </w:pPr>
      <w:r>
        <w:rPr>
          <w:b/>
          <w:bCs/>
        </w:rPr>
        <w:t xml:space="preserve">1) Retailer sales &amp; the consumer.</w:t>
      </w:r>
      <w:r>
        <w:t xml:space="preserve"> </w:t>
      </w:r>
      <w:r>
        <w:t xml:space="preserve">The most important tell for the mall thesis. Q1 sales growth</w:t>
      </w:r>
      <w:r>
        <w:t xml:space="preserve"> </w:t>
      </w:r>
      <w:r>
        <w:rPr>
          <w:i/>
          <w:iCs/>
        </w:rPr>
        <w:t xml:space="preserve">accelerated</w:t>
      </w:r>
      <w:r>
        <w:t xml:space="preserve"> </w:t>
      </w:r>
      <w:r>
        <w:t xml:space="preserve">(volume +8.8% in the quarter). Management flagged three cross-currents worth tracking for continuation in Q2:</w:t>
      </w:r>
    </w:p>
    <w:p>
      <w:pPr>
        <w:pStyle w:val="Compact"/>
        <w:numPr>
          <w:ilvl w:val="0"/>
          <w:numId w:val="1003"/>
        </w:numPr>
      </w:pPr>
      <w:r>
        <w:rPr>
          <w:b/>
          <w:bCs/>
        </w:rPr>
        <w:t xml:space="preserve">Strength:</w:t>
      </w:r>
      <w:r>
        <w:t xml:space="preserve"> </w:t>
      </w:r>
      <w:r>
        <w:t xml:space="preserve">hard luxury/jewelry/watches rebounding, athleisure, and the juniors/Gen-Z category firing.</w:t>
      </w:r>
    </w:p>
    <w:p>
      <w:pPr>
        <w:pStyle w:val="Compact"/>
        <w:numPr>
          <w:ilvl w:val="0"/>
          <w:numId w:val="1003"/>
        </w:numPr>
      </w:pPr>
      <w:r>
        <w:rPr>
          <w:b/>
          <w:bCs/>
        </w:rPr>
        <w:t xml:space="preserve">Soft spots:</w:t>
      </w:r>
      <w:r>
        <w:t xml:space="preserve"> </w:t>
      </w:r>
      <w:r>
        <w:t xml:space="preserve">food &amp; beverage roughly flat (trade-down/one-less-trip), and</w:t>
      </w:r>
      <w:r>
        <w:t xml:space="preserve"> </w:t>
      </w:r>
      <w:r>
        <w:rPr>
          <w:b/>
          <w:bCs/>
        </w:rPr>
        <w:t xml:space="preserve">tourism-dependent centers softer</w:t>
      </w:r>
      <w:r>
        <w:t xml:space="preserve"> </w:t>
      </w:r>
      <w:r>
        <w:t xml:space="preserve">— Woodbury Common comp'd ~2.5% vs the ~6.5% portfolio, hurt by weaker European/Canadian inbound travel. Florida/Orlando remained standouts. Any worsening in international tourism (FX, travel sentiment) is the clearest downside watch item.</w:t>
      </w:r>
    </w:p>
    <w:p>
      <w:pPr>
        <w:pStyle w:val="FirstParagraph"/>
      </w:pPr>
      <w:r>
        <w:rPr>
          <w:b/>
          <w:bCs/>
        </w:rPr>
        <w:t xml:space="preserve">2) Leasing pipeline &amp; spreads.</w:t>
      </w:r>
      <w:r>
        <w:t xml:space="preserve"> </w:t>
      </w:r>
      <w:r>
        <w:t xml:space="preserve">Eli Simon said the deal pipeline is "significantly larger" than a year ago, new-lease rents are running</w:t>
      </w:r>
      <w:r>
        <w:t xml:space="preserve"> </w:t>
      </w:r>
      <w:r>
        <w:rPr>
          <w:b/>
          <w:bCs/>
        </w:rPr>
        <w:t xml:space="preserve">+20–25% above prior-year new leases</w:t>
      </w:r>
      <w:r>
        <w:t xml:space="preserve">, and retailers are increasingly willing to negotiate 2027–2029 expirations early. &gt;75% of 2026 expirations were already completed as of Q1. Look for updated occupancy (room to push to ~97% if desired, but management prioritizes cash flow over the last 20 bps) and continued mid-single-digit renewal spreads.</w:t>
      </w:r>
    </w:p>
    <w:p>
      <w:pPr>
        <w:pStyle w:val="BodyText"/>
      </w:pPr>
      <w:r>
        <w:rPr>
          <w:b/>
          <w:bCs/>
        </w:rPr>
        <w:t xml:space="preserve">3) Taubman integration &amp; reinvestment.</w:t>
      </w:r>
      <w:r>
        <w:t xml:space="preserve"> </w:t>
      </w:r>
      <w:r>
        <w:t xml:space="preserve">Corporate integration was declared complete by end-April. The bigger story is the</w:t>
      </w:r>
      <w:r>
        <w:t xml:space="preserve"> </w:t>
      </w:r>
      <w:r>
        <w:rPr>
          <w:b/>
          <w:bCs/>
        </w:rPr>
        <w:t xml:space="preserve">&gt;$250M reinvestment into Green Hills, International Plaza, and Cherry Creek</w:t>
      </w:r>
      <w:r>
        <w:t xml:space="preserve"> </w:t>
      </w:r>
      <w:r>
        <w:t xml:space="preserve">starting later this year. Expect progress updates and possibly new project announcements — these are the assets Eli says he's "more excited than ever" about.</w:t>
      </w:r>
    </w:p>
    <w:p>
      <w:pPr>
        <w:pStyle w:val="BodyText"/>
      </w:pPr>
      <w:r>
        <w:rPr>
          <w:b/>
          <w:bCs/>
        </w:rPr>
        <w:t xml:space="preserve">4) Development pipeline &amp; capital allocation.</w:t>
      </w:r>
      <w:r>
        <w:t xml:space="preserve"> </w:t>
      </w:r>
      <w:r>
        <w:t xml:space="preserve">~</w:t>
      </w:r>
      <m:oMath>
        <m:r>
          <m:t>1.06</m:t>
        </m:r>
        <m:r>
          <m:t>B</m:t>
        </m:r>
        <m:r>
          <m:t>u</m:t>
        </m:r>
        <m:r>
          <m:t>n</m:t>
        </m:r>
        <m:r>
          <m:t>d</m:t>
        </m:r>
        <m:r>
          <m:t>e</m:t>
        </m:r>
        <m:r>
          <m:t>r</m:t>
        </m:r>
        <m:r>
          <m:t>c</m:t>
        </m:r>
        <m:r>
          <m:t>o</m:t>
        </m:r>
        <m:r>
          <m:t>n</m:t>
        </m:r>
        <m:r>
          <m:t>s</m:t>
        </m:r>
        <m:r>
          <m:t>t</m:t>
        </m:r>
        <m:r>
          <m:t>r</m:t>
        </m:r>
        <m:r>
          <m:t>u</m:t>
        </m:r>
        <m:r>
          <m:t>c</m:t>
        </m:r>
        <m:r>
          <m:t>t</m:t>
        </m:r>
        <m:r>
          <m:t>i</m:t>
        </m:r>
        <m:r>
          <m:t>o</m:t>
        </m:r>
        <m:r>
          <m:t>n</m:t>
        </m:r>
        <m:r>
          <m:t>a</m:t>
        </m:r>
        <m:r>
          <m:t>t</m:t>
        </m:r>
        <m:r>
          <m:t>a</m:t>
        </m:r>
        <m:r>
          <m:rPr>
            <m:sty m:val="p"/>
          </m:rPr>
          <m:t>*</m:t>
        </m:r>
        <m:r>
          <m:rPr>
            <m:sty m:val="p"/>
          </m:rPr>
          <m:t>*</m:t>
        </m:r>
        <m:r>
          <m:t>9</m:t>
        </m:r>
      </m:oMath>
      <w:r>
        <w:t xml:space="preserve">1B ready to start this year, and ~</w:t>
      </w:r>
      <m:oMath>
        <m:r>
          <m:t>3</m:t>
        </m:r>
        <m:r>
          <m:t>B</m:t>
        </m:r>
        <m:r>
          <m:t>b</m:t>
        </m:r>
        <m:r>
          <m:t>e</m:t>
        </m:r>
        <m:r>
          <m:t>h</m:t>
        </m:r>
        <m:r>
          <m:t>i</m:t>
        </m:r>
        <m:r>
          <m:t>n</m:t>
        </m:r>
        <m:r>
          <m:t>d</m:t>
        </m:r>
        <m:r>
          <m:t>t</m:t>
        </m:r>
        <m:r>
          <m:t>h</m:t>
        </m:r>
        <m:r>
          <m:t>a</m:t>
        </m:r>
        <m:r>
          <m:t>t</m:t>
        </m:r>
        <m:r>
          <m:rPr>
            <m:sty m:val="p"/>
          </m:rPr>
          <m:t>—</m:t>
        </m:r>
        <m:r>
          <m:t>a</m:t>
        </m:r>
        <m:r>
          <m:t>l</m:t>
        </m:r>
        <m:r>
          <m:t>l</m:t>
        </m:r>
        <m:r>
          <m:t>f</m:t>
        </m:r>
        <m:r>
          <m:t>u</m:t>
        </m:r>
        <m:r>
          <m:t>n</m:t>
        </m:r>
        <m:r>
          <m:t>d</m:t>
        </m:r>
        <m:r>
          <m:t>a</m:t>
        </m:r>
        <m:r>
          <m:t>b</m:t>
        </m:r>
        <m:r>
          <m:t>l</m:t>
        </m:r>
        <m:r>
          <m:t>e</m:t>
        </m:r>
        <m:r>
          <m:t>f</m:t>
        </m:r>
        <m:r>
          <m:t>r</m:t>
        </m:r>
        <m:r>
          <m:t>o</m:t>
        </m:r>
        <m:r>
          <m:t>m</m:t>
        </m:r>
        <m:r>
          <m:t> </m:t>
        </m:r>
      </m:oMath>
      <w:r>
        <w:t xml:space="preserve">1.6B of post-dividend free cash flow. Balance sheet is pristine: net debt/EBITDA</w:t>
      </w:r>
      <w:r>
        <w:t xml:space="preserve"> </w:t>
      </w:r>
      <w:r>
        <w:rPr>
          <w:b/>
          <w:bCs/>
        </w:rPr>
        <w:t xml:space="preserve">5.0x</w:t>
      </w:r>
      <w:r>
        <w:t xml:space="preserve">, fixed-charge coverage 4.6x, ~$8.7B liquidity, and S&amp;P upgraded the corporate/senior unsecured rating to</w:t>
      </w:r>
      <w:r>
        <w:t xml:space="preserve"> </w:t>
      </w:r>
      <w:r>
        <w:rPr>
          <w:b/>
          <w:bCs/>
        </w:rPr>
        <w:t xml:space="preserve">A</w:t>
      </w:r>
      <w:r>
        <w:t xml:space="preserve"> </w:t>
      </w:r>
      <w:r>
        <w:t xml:space="preserve">(from A- a year ago). Watch buyback pace (only</w:t>
      </w:r>
      <w:r>
        <w:t xml:space="preserve"> </w:t>
      </w:r>
      <m:oMath>
        <m:r>
          <m:t>175</m:t>
        </m:r>
        <m:r>
          <m:t>M</m:t>
        </m:r>
        <m:r>
          <m:rPr>
            <m:sty m:val="p"/>
          </m:rPr>
          <m:t>/</m:t>
        </m:r>
        <m:r>
          <m:t>965</m:t>
        </m:r>
        <m:r>
          <m:t>k</m:t>
        </m:r>
        <m:r>
          <m:t>s</m:t>
        </m:r>
        <m:r>
          <m:t>h</m:t>
        </m:r>
        <m:r>
          <m:t>a</m:t>
        </m:r>
        <m:r>
          <m:t>r</m:t>
        </m:r>
        <m:r>
          <m:t>e</m:t>
        </m:r>
        <m:r>
          <m:t>s</m:t>
        </m:r>
        <m:r>
          <m:t>i</m:t>
        </m:r>
        <m:r>
          <m:t>n</m:t>
        </m:r>
        <m:r>
          <m:t>Q</m:t>
        </m:r>
        <m:r>
          <m:t>1</m:t>
        </m:r>
        <m:r>
          <m:t>a</m:t>
        </m:r>
        <m:r>
          <m:t>t</m:t>
        </m:r>
        <m:r>
          <m:t> </m:t>
        </m:r>
      </m:oMath>
      <w:r>
        <w:t xml:space="preserve">182 — well below where the stock trades now, so don't expect aggressive repurchases at $220+), and any acquisition commentary given a more active retail transaction market.</w:t>
      </w:r>
    </w:p>
    <w:p>
      <w:pPr>
        <w:pStyle w:val="BodyText"/>
      </w:pPr>
      <w:r>
        <w:rPr>
          <w:b/>
          <w:bCs/>
        </w:rPr>
        <w:t xml:space="preserve">5) Interest expense &amp; refinancing.</w:t>
      </w:r>
      <w:r>
        <w:t xml:space="preserve"> </w:t>
      </w:r>
      <w:r>
        <w:t xml:space="preserve">Management reiterated a</w:t>
      </w:r>
      <w:r>
        <w:t xml:space="preserve"> </w:t>
      </w:r>
      <m:oMath>
        <m:r>
          <m:t>0.25</m:t>
        </m:r>
        <m:r>
          <m:rPr>
            <m:sty m:val="p"/>
          </m:rPr>
          <m:t>–</m:t>
        </m:r>
      </m:oMath>
      <w:r>
        <w:rPr>
          <w:b/>
          <w:bCs/>
        </w:rPr>
        <w:t xml:space="preserve">0.30 full-year FFO headwind</w:t>
      </w:r>
      <w:r>
        <w:t xml:space="preserve"> </w:t>
      </w:r>
      <w:r>
        <w:t xml:space="preserve">from higher interest expense/lower interest income, with 2026–2027 secured maturities refinancing ~50 bps higher despite record-tight spreads. This is the main internal offset to strong operating growth — watch whether the headwind is trending to the low end ($0.25) as rates behave. Also track the wind-down of the Klépierre exchangeable bonds (only ~€188M left, maturing November; SPG holds ~20.7% of Klépierre).</w:t>
      </w:r>
    </w:p>
    <w:p>
      <w:r>
        <w:pict>
          <v:rect style="width:0;height:1.5pt" o:hralign="center" o:hrstd="t" o:hr="t"/>
        </w:pict>
      </w:r>
    </w:p>
    <w:bookmarkEnd w:id="13"/>
    <w:bookmarkStart w:id="14" w:name="X0509903d7c44670664bc5ac05dbf060946312ef"/>
    <w:p>
      <w:pPr>
        <w:pStyle w:val="Heading2"/>
      </w:pPr>
      <w:r>
        <w:t xml:space="preserve">4. Dividend watch</w:t>
      </w:r>
    </w:p>
    <w:p>
      <w:pPr>
        <w:pStyle w:val="FirstParagraph"/>
      </w:pPr>
      <w:r>
        <w:t xml:space="preserve">SPG raised the Q2 dividend to</w:t>
      </w:r>
      <w:r>
        <w:t xml:space="preserve"> </w:t>
      </w:r>
      <w:r>
        <w:rPr>
          <w:b/>
          <w:bCs/>
        </w:rPr>
        <w:t xml:space="preserve">$2.25 (+7.1% YoY)</w:t>
      </w:r>
      <w:r>
        <w:t xml:space="preserve">. It typically re-sets the payout each quarter, so expect a</w:t>
      </w:r>
      <w:r>
        <w:t xml:space="preserve"> </w:t>
      </w:r>
      <w:r>
        <w:rPr>
          <w:b/>
          <w:bCs/>
        </w:rPr>
        <w:t xml:space="preserve">Q3 2026 dividend declaration on Monday, likely another increase</w:t>
      </w:r>
      <w:r>
        <w:t xml:space="preserve"> </w:t>
      </w:r>
      <w:r>
        <w:t xml:space="preserve">(last year it took Q3 to</w:t>
      </w:r>
      <w:r>
        <w:t xml:space="preserve"> </w:t>
      </w:r>
      <m:oMath>
        <m:r>
          <m:t>2.15</m:t>
        </m:r>
        <m:r>
          <m:rPr>
            <m:sty m:val="p"/>
          </m:rPr>
          <m:t>,</m:t>
        </m:r>
        <m:r>
          <m:rPr>
            <m:sty m:val="p"/>
          </m:rPr>
          <m:t>+</m:t>
        </m:r>
        <m:r>
          <m:t>4.9</m:t>
        </m:r>
      </m:oMath>
      <w:r>
        <w:t xml:space="preserve">50B of cumulative dividends paid** as a public company around Q3.</w:t>
      </w:r>
    </w:p>
    <w:p>
      <w:r>
        <w:pict>
          <v:rect style="width:0;height:1.5pt" o:hralign="center" o:hrstd="t" o:hr="t"/>
        </w:pict>
      </w:r>
    </w:p>
    <w:bookmarkEnd w:id="14"/>
    <w:bookmarkStart w:id="15" w:name="X1473c3cb95c02b7916b5bd2c7c8dc34c1398d92"/>
    <w:p>
      <w:pPr>
        <w:pStyle w:val="Heading2"/>
      </w:pPr>
      <w:r>
        <w:t xml:space="preserve">5. Bull vs. bear into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Bull case</w:t>
            </w:r>
          </w:p>
        </w:tc>
        <w:tc>
          <w:tcPr/>
          <w:p>
            <w:pPr>
              <w:pStyle w:val="Compact"/>
            </w:pPr>
            <w:r>
              <w:t xml:space="preserve">Accelerating tenant sales + big leasing pipeline + Taubman reinvestment + A-rated balance sheet = another beat-and-raise; guidance likely nudged toward/above $13.25; dividend hike reaffirms cash-flow strength.</w:t>
            </w:r>
          </w:p>
        </w:tc>
      </w:tr>
      <w:tr>
        <w:tc>
          <w:tcPr/>
          <w:p>
            <w:pPr>
              <w:pStyle w:val="Compact"/>
            </w:pPr>
            <w:r>
              <w:rPr>
                <w:b/>
                <w:bCs/>
              </w:rPr>
              <w:t xml:space="preserve">Bear case</w:t>
            </w:r>
          </w:p>
        </w:tc>
        <w:tc>
          <w:tcPr/>
          <w:p>
            <w:pPr>
              <w:pStyle w:val="Compact"/>
            </w:pPr>
            <w:r>
              <w:t xml:space="preserve">Stock up ~21% YTD and off its highs; much of the good news is priced. NOI growth optically decelerates as the Taubman lift fades; tourism softness and flat F&amp;B hint at a cooling consumer; ~</w:t>
            </w:r>
            <m:oMath>
              <m:r>
                <m:t>0.25</m:t>
              </m:r>
              <m:r>
                <m:rPr>
                  <m:sty m:val="p"/>
                </m:rPr>
                <m:t>–</m:t>
              </m:r>
            </m:oMath>
            <w:r>
              <w:t xml:space="preserve">0.30 interest headwind persists; buybacks muted at these levels.</w:t>
            </w:r>
          </w:p>
        </w:tc>
      </w:tr>
    </w:tbl>
    <w:p>
      <w:pPr>
        <w:pStyle w:val="BodyText"/>
      </w:pPr>
      <w:r>
        <w:rPr>
          <w:b/>
          <w:bCs/>
        </w:rPr>
        <w:t xml:space="preserve">Net:</w:t>
      </w:r>
      <w:r>
        <w:t xml:space="preserve"> </w:t>
      </w:r>
      <w:r>
        <w:t xml:space="preserve">Fundamentals point to a strong quarter and a high probability of a modest guidance raise and dividend increase. The risk is reaction, not results — after a big run, SPG needs to</w:t>
      </w:r>
      <w:r>
        <w:t xml:space="preserve"> </w:t>
      </w:r>
      <w:r>
        <w:rPr>
          <w:i/>
          <w:iCs/>
        </w:rPr>
        <w:t xml:space="preserve">raise</w:t>
      </w:r>
      <w:r>
        <w:t xml:space="preserve"> </w:t>
      </w:r>
      <w:r>
        <w:t xml:space="preserve">(not merely reaffirm) and show the sales/leasing momentum is still accelerating to justify further upside. The clearest things to trade around are (a) the FY FFO guidance revision, (b) domestic NOI trajectory ex-Taubman, and (c) any change in the consumer/tourism tone from new leadership.</w:t>
      </w:r>
    </w:p>
    <w:p>
      <w:r>
        <w:pict>
          <v:rect style="width:0;height:1.5pt" o:hralign="center" o:hrstd="t" o:hr="t"/>
        </w:pict>
      </w:r>
    </w:p>
    <w:p>
      <w:pPr>
        <w:pStyle w:val="FirstParagraph"/>
      </w:pPr>
      <w:r>
        <w:rPr>
          <w:i/>
          <w:iCs/>
        </w:rPr>
        <w:t xml:space="preserve">Sources: SPG Q1 2026 earnings release/supplemental and call transcript (May 11, 2026); Q2 2025 earnings release/supplemental (Aug 4, 2025); daily price history through Aug 7, 2026. Note: figures are Real Estate FFO unless stated; "at least 3%" NOI is a conservative guide the company has historically exceeded. This preview is for informational purposes and is not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2026-08-10T00:04:20Z</dcterms:created>
  <dcterms:modified xsi:type="dcterms:W3CDTF">2026-08-10T00:04:20Z</dcterms:modified>
</cp:coreProperties>
</file>

<file path=docProps/custom.xml><?xml version="1.0" encoding="utf-8"?>
<Properties xmlns="http://schemas.openxmlformats.org/officeDocument/2006/custom-properties" xmlns:vt="http://schemas.openxmlformats.org/officeDocument/2006/docPropsVTypes"/>
</file>