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5b67e4f89bd53797ff2fa17f7ec4bf3e3c79c4"/>
    <w:p>
      <w:pPr>
        <w:pStyle w:val="Heading1"/>
      </w:pPr>
      <w:r>
        <w:t xml:space="preserve">Simon Property Group (SPG) — Q2 2026 Earnings Preview</w:t>
      </w:r>
    </w:p>
    <w:p>
      <w:pPr>
        <w:pStyle w:val="FirstParagraph"/>
      </w:pPr>
      <w:r>
        <w:rPr>
          <w:b/>
          <w:bCs/>
        </w:rPr>
        <w:t xml:space="preserve">Report date:</w:t>
      </w:r>
      <w:r>
        <w:t xml:space="preserve"> </w:t>
      </w:r>
      <w:r>
        <w:t xml:space="preserve">Monday, August 10, 2026, after market close (call at 5:00 PM ET)</w:t>
      </w:r>
      <w:r>
        <w:t xml:space="preserve"> </w:t>
      </w:r>
      <w:r>
        <w:rPr>
          <w:b/>
          <w:bCs/>
        </w:rPr>
        <w:t xml:space="preserve">Prior close context:</w:t>
      </w:r>
      <w:r>
        <w:t xml:space="preserve"> </w:t>
      </w:r>
      <w:r>
        <w:t xml:space="preserve">Stock ~$223, off its late-July high near $237, still up sharply year-to-date</w:t>
      </w:r>
    </w:p>
    <w:p>
      <w:r>
        <w:pict>
          <v:rect style="width:0;height:1.5pt" o:hralign="center" o:hrstd="t" o:hr="t"/>
        </w:pict>
      </w:r>
    </w:p>
    <w:bookmarkStart w:id="9" w:name="setup-into-the-print"/>
    <w:p>
      <w:pPr>
        <w:pStyle w:val="Heading2"/>
      </w:pPr>
      <w:r>
        <w:t xml:space="preserve">Setup Into the Print</w:t>
      </w:r>
    </w:p>
    <w:p>
      <w:pPr>
        <w:pStyle w:val="FirstParagraph"/>
      </w:pPr>
      <w:r>
        <w:t xml:space="preserve">SPG heads into this report riding one of its best stretches in years — shares are up roughly 20%+ year-to-date and hit a fresh 52-week high in late July before pulling back modestly. That run has made valuation, not fundamentals, the main tension point for Wall Street: several firms (Deutsche Bank, Wolfe Research) downgraded the stock in July on "fully valued" concerns even as they raised estimates, while others (Piper Sandler, Jefferies) turned more bullish on the leasing and development story. Consensus sits at a "Moderate Buy"/Hold with average price targets clustered in the low-</w:t>
      </w:r>
      <m:oMath>
        <m:r>
          <m:t>200</m:t>
        </m:r>
        <m:r>
          <m:t>s</m:t>
        </m:r>
        <m:r>
          <m:t>t</m:t>
        </m:r>
        <m:r>
          <m:t>o</m:t>
        </m:r>
        <m:r>
          <m:t>m</m:t>
        </m:r>
        <m:r>
          <m:t>i</m:t>
        </m:r>
        <m:r>
          <m:t>d</m:t>
        </m:r>
        <m:r>
          <m:rPr>
            <m:sty m:val="p"/>
          </m:rPr>
          <m:t>−</m:t>
        </m:r>
      </m:oMath>
      <w:r>
        <w:t xml:space="preserve">200s range — well dispersed, reflecting the valuation debate.</w:t>
      </w:r>
    </w:p>
    <w:p>
      <w:pPr>
        <w:pStyle w:val="BodyText"/>
      </w:pPr>
      <w:r>
        <w:t xml:space="preserve">This is also the first full quarterly report cycle under new CEO Eli Simon following the passing of long-time Chairman/CEO David Simon in March 2026. Management used the Q1 call to stress continuity: "As far as leadership changes, this is -- we're operating business as usual. We have the best-in-class team and we're continuing to execute on our business plan."</w:t>
      </w:r>
    </w:p>
    <w:bookmarkEnd w:id="9"/>
    <w:bookmarkStart w:id="10" w:name="q1-2026-recap--the-bar-being-set"/>
    <w:p>
      <w:pPr>
        <w:pStyle w:val="Heading2"/>
      </w:pPr>
      <w:r>
        <w:t xml:space="preserve">Q1 2026 Recap — The Bar Being Set</w:t>
      </w:r>
    </w:p>
    <w:p>
      <w:pPr>
        <w:pStyle w:val="FirstParagraph"/>
      </w:pPr>
      <w:r>
        <w:t xml:space="preserve">Simon's first quarter was strong across the board and gives context for what the Street expects to see extend into Q2:</w:t>
      </w:r>
    </w:p>
    <w:p>
      <w:pPr>
        <w:pStyle w:val="Compact"/>
        <w:numPr>
          <w:ilvl w:val="0"/>
          <w:numId w:val="1001"/>
        </w:numPr>
      </w:pPr>
      <w:r>
        <w:rPr>
          <w:b/>
          <w:bCs/>
        </w:rPr>
        <w:t xml:space="preserve">Real Estate FFO</w:t>
      </w:r>
      <w:r>
        <w:t xml:space="preserve"> </w:t>
      </w:r>
      <w:r>
        <w:t xml:space="preserve">of $1.208 billion, or $3.17 per diluted share as compared to $1.113 billion, or $2.95 per diluted share in the prior year, an increase of 7.5%</w:t>
      </w:r>
    </w:p>
    <w:p>
      <w:pPr>
        <w:pStyle w:val="Compact"/>
        <w:numPr>
          <w:ilvl w:val="0"/>
          <w:numId w:val="1001"/>
        </w:numPr>
      </w:pPr>
      <w:r>
        <w:rPr>
          <w:b/>
          <w:bCs/>
        </w:rPr>
        <w:t xml:space="preserve">Domestic and portfolio NOI</w:t>
      </w:r>
      <w:r>
        <w:t xml:space="preserve"> </w:t>
      </w:r>
      <w:r>
        <w:t xml:space="preserve">both grew 6.7% year-over-year for the quarter, though management flagged that roughly 120bps of that came from the acquisition of the remaining Taubman (TRG) interests</w:t>
      </w:r>
    </w:p>
    <w:p>
      <w:pPr>
        <w:pStyle w:val="Compact"/>
        <w:numPr>
          <w:ilvl w:val="0"/>
          <w:numId w:val="1001"/>
        </w:numPr>
      </w:pPr>
      <w:r>
        <w:rPr>
          <w:b/>
          <w:bCs/>
        </w:rPr>
        <w:t xml:space="preserve">Occupancy</w:t>
      </w:r>
      <w:r>
        <w:t xml:space="preserve"> </w:t>
      </w:r>
      <w:r>
        <w:t xml:space="preserve">for Malls &amp; Premium Outlets stood at 96.0%, up modestly year-over-year, with base minimum rent up 5.2%</w:t>
      </w:r>
    </w:p>
    <w:p>
      <w:pPr>
        <w:pStyle w:val="Compact"/>
        <w:numPr>
          <w:ilvl w:val="0"/>
          <w:numId w:val="1001"/>
        </w:numPr>
      </w:pPr>
      <w:r>
        <w:rPr>
          <w:b/>
          <w:bCs/>
        </w:rPr>
        <w:t xml:space="preserve">Retailer sales</w:t>
      </w:r>
      <w:r>
        <w:t xml:space="preserve"> </w:t>
      </w:r>
      <w:r>
        <w:t xml:space="preserve">of $819/sq ft (trailing twelve months), up 11.8%, with comparable sales growth of 6.5% in the quarter</w:t>
      </w:r>
    </w:p>
    <w:p>
      <w:pPr>
        <w:pStyle w:val="Compact"/>
        <w:numPr>
          <w:ilvl w:val="0"/>
          <w:numId w:val="1001"/>
        </w:numPr>
      </w:pPr>
      <w:r>
        <w:rPr>
          <w:b/>
          <w:bCs/>
        </w:rPr>
        <w:t xml:space="preserve">Leasing volume</w:t>
      </w:r>
      <w:r>
        <w:t xml:space="preserve">: over 1,100 leases totaling 4.7 million square feet, with new leases signing 20–25% above year-ago comparable deals</w:t>
      </w:r>
    </w:p>
    <w:p>
      <w:pPr>
        <w:pStyle w:val="Compact"/>
        <w:numPr>
          <w:ilvl w:val="0"/>
          <w:numId w:val="1001"/>
        </w:numPr>
      </w:pPr>
      <w:r>
        <w:rPr>
          <w:b/>
          <w:bCs/>
        </w:rPr>
        <w:t xml:space="preserve">Guidance raised</w:t>
      </w:r>
      <w:r>
        <w:t xml:space="preserve">: full-year 2026 Real Estate FFO guidance moved to</w:t>
      </w:r>
      <w:r>
        <w:t xml:space="preserve"> </w:t>
      </w:r>
      <m:oMath>
        <m:r>
          <m:t>13.10</m:t>
        </m:r>
        <m:r>
          <m:rPr>
            <m:sty m:val="p"/>
          </m:rPr>
          <m:t>–</m:t>
        </m:r>
      </m:oMath>
      <w:r>
        <w:rPr>
          <w:b/>
          <w:bCs/>
        </w:rPr>
        <w:t xml:space="preserve">13.25/share</w:t>
      </w:r>
      <w:r>
        <w:t xml:space="preserve">, up from the prior</w:t>
      </w:r>
      <w:r>
        <w:t xml:space="preserve"> </w:t>
      </w:r>
      <m:oMath>
        <m:r>
          <m:t>13.00</m:t>
        </m:r>
        <m:r>
          <m:rPr>
            <m:sty m:val="p"/>
          </m:rPr>
          <m:t>–</m:t>
        </m:r>
      </m:oMath>
      <w:r>
        <w:t xml:space="preserve">13.25 range, a 5% increase at the midpoint versus 2025's $12.73</w:t>
      </w:r>
    </w:p>
    <w:p>
      <w:pPr>
        <w:pStyle w:val="Compact"/>
        <w:numPr>
          <w:ilvl w:val="0"/>
          <w:numId w:val="1001"/>
        </w:numPr>
      </w:pPr>
      <w:r>
        <w:rPr>
          <w:b/>
          <w:bCs/>
        </w:rPr>
        <w:t xml:space="preserve">Dividend</w:t>
      </w:r>
      <w:r>
        <w:t xml:space="preserve"> </w:t>
      </w:r>
      <w:r>
        <w:t xml:space="preserve">raised to $2.25/quarter, up 7.1% year-over-year</w:t>
      </w:r>
    </w:p>
    <w:p>
      <w:pPr>
        <w:pStyle w:val="Compact"/>
        <w:numPr>
          <w:ilvl w:val="0"/>
          <w:numId w:val="1001"/>
        </w:numPr>
      </w:pPr>
      <w:r>
        <w:rPr>
          <w:b/>
          <w:bCs/>
        </w:rPr>
        <w:t xml:space="preserve">Balance sheet</w:t>
      </w:r>
      <w:r>
        <w:t xml:space="preserve">: $8.7 billion of liquidity, net debt/EBITDA of 5.0x, fixed charge coverage of 4.6x</w:t>
      </w:r>
    </w:p>
    <w:bookmarkEnd w:id="10"/>
    <w:bookmarkStart w:id="18" w:name="what-to-watch-in-q2"/>
    <w:p>
      <w:pPr>
        <w:pStyle w:val="Heading2"/>
      </w:pPr>
      <w:r>
        <w:t xml:space="preserve">What to Watch in Q2</w:t>
      </w:r>
    </w:p>
    <w:bookmarkStart w:id="11" w:name="X2b671169e18970269494dc02cf67602777e0abb"/>
    <w:p>
      <w:pPr>
        <w:pStyle w:val="Heading3"/>
      </w:pPr>
      <w:r>
        <w:t xml:space="preserve">1. FFO growth and another guidance bump</w:t>
      </w:r>
    </w:p>
    <w:p>
      <w:pPr>
        <w:pStyle w:val="FirstParagraph"/>
      </w:pPr>
      <w:r>
        <w:t xml:space="preserve">Consensus expects Q2 Real Estate FFO of roughly</w:t>
      </w:r>
      <w:r>
        <w:t xml:space="preserve"> </w:t>
      </w:r>
      <m:oMath>
        <m:r>
          <m:t>3.18</m:t>
        </m:r>
        <m:r>
          <m:rPr>
            <m:sty m:val="p"/>
          </m:rPr>
          <m:t>–</m:t>
        </m:r>
      </m:oMath>
      <w:r>
        <w:rPr>
          <w:b/>
          <w:bCs/>
        </w:rPr>
        <w:t xml:space="preserve">3.21/share</w:t>
      </w:r>
      <w:r>
        <w:t xml:space="preserve">, up about 4.3% year-over-year, with full-year consensus near</w:t>
      </w:r>
      <w:r>
        <w:t xml:space="preserve"> </w:t>
      </w:r>
      <w:r>
        <w:rPr>
          <w:b/>
          <w:bCs/>
        </w:rPr>
        <w:t xml:space="preserve">$13.21/share</w:t>
      </w:r>
      <w:r>
        <w:t xml:space="preserve"> </w:t>
      </w:r>
      <w:r>
        <w:t xml:space="preserve">— essentially at the high end of management's own guidance range. Simon has beaten Street FFO estimates in each of the last four quarters (average surprise near 3%, with a notably larger beat in Q1), so the real question is less "does it beat" and more "does management raise full-year guidance again," as it did in May.</w:t>
      </w:r>
    </w:p>
    <w:bookmarkEnd w:id="11"/>
    <w:bookmarkStart w:id="12" w:name="X60129f787ffe427977ada95a9da68e8ddf07b18"/>
    <w:p>
      <w:pPr>
        <w:pStyle w:val="Heading3"/>
      </w:pPr>
      <w:r>
        <w:t xml:space="preserve">2. Domestic/portfolio NOI — watch for the Taubman lap</w:t>
      </w:r>
    </w:p>
    <w:p>
      <w:pPr>
        <w:pStyle w:val="FirstParagraph"/>
      </w:pPr>
      <w:r>
        <w:t xml:space="preserve">Q1's blowout 6.7% NOI growth was flattered by the Taubman stake acquisition. Management has guided that this boost fades through the year: "that will obviously play through our results for the second quarter and the third quarter and a little bit a little bit less, obviously, in the fourth quarter. And so we'll probably have, call it, plus or minus 100 basis points impact on the year." Investors should expect reported domestic NOI growth to decelerate from Q1's pace even if underlying trends stay healthy — the standing full-year floor guide is "at least 3%" same-store-type growth, which Simon has consistently outperformed.</w:t>
      </w:r>
    </w:p>
    <w:bookmarkEnd w:id="12"/>
    <w:bookmarkStart w:id="13" w:name="X72943a3bdfce617e21a0b3e309c699b82666619"/>
    <w:p>
      <w:pPr>
        <w:pStyle w:val="Heading3"/>
      </w:pPr>
      <w:r>
        <w:t xml:space="preserve">3. Leasing spreads, occupancy strategy, and the SNO pipeline</w:t>
      </w:r>
    </w:p>
    <w:p>
      <w:pPr>
        <w:pStyle w:val="FirstParagraph"/>
      </w:pPr>
      <w:r>
        <w:t xml:space="preserve">Watch commentary on new-lease spreads (running 20%+ above prior-year signed rents, with new-to-portfolio brands outperforming that further) and whether occupancy — already at 96%+ — inches higher. Management has been explicit that occupancy itself isn't the goal: "we don't focus if it's -- what it's 96% now, 96.4% at the end of the year... That's not what I'm focused on... it's really let's grow cash flow." The signed-not-open (SNO) pipeline, which stood at 310bps at Q1-end, is a useful gauge of embedded future NOI.</w:t>
      </w:r>
    </w:p>
    <w:bookmarkEnd w:id="13"/>
    <w:bookmarkStart w:id="14" w:name="X876505c1ba9ad77cf8a7b171ca1f4943a7e1228"/>
    <w:p>
      <w:pPr>
        <w:pStyle w:val="Heading3"/>
      </w:pPr>
      <w:r>
        <w:t xml:space="preserve">4. Consumer health and retailer sales mix</w:t>
      </w:r>
    </w:p>
    <w:p>
      <w:pPr>
        <w:pStyle w:val="FirstParagraph"/>
      </w:pPr>
      <w:r>
        <w:t xml:space="preserve">Q1 showed broad-based strength in luxury, jewelry, athleisure, and "juniors"/Gen Z categories, but softness in food &amp; beverage (roughly flat comps) and in tourist-heavy centers like Woodbury Common, where international (European/Canadian) traffic has been notably weaker. With ongoing tariff and trade-policy noise and a Fed under new Chair Kevin Warsh still cautious on inflation, any change in these consumer/traffic trends — particularly the luxury and international-tourist categories — will be closely parsed.</w:t>
      </w:r>
    </w:p>
    <w:bookmarkEnd w:id="14"/>
    <w:bookmarkStart w:id="15" w:name="X8df435452a11ef6cfceaaff48540cbf68dbd92e"/>
    <w:p>
      <w:pPr>
        <w:pStyle w:val="Heading3"/>
      </w:pPr>
      <w:r>
        <w:t xml:space="preserve">5. Development, redevelopment, and Taubman reinvestment</w:t>
      </w:r>
    </w:p>
    <w:p>
      <w:pPr>
        <w:pStyle w:val="FirstParagraph"/>
      </w:pPr>
      <w:r>
        <w:t xml:space="preserve">Simon has $1.06 billion under construction across 29 centers at a blended 9% yield, roughly</w:t>
      </w:r>
      <w:r>
        <w:t xml:space="preserve"> </w:t>
      </w:r>
      <m:oMath>
        <m:r>
          <m:t>1</m:t>
        </m:r>
        <m:r>
          <m:t>b</m:t>
        </m:r>
        <m:r>
          <m:t>i</m:t>
        </m:r>
        <m:r>
          <m:t>l</m:t>
        </m:r>
        <m:r>
          <m:t>l</m:t>
        </m:r>
        <m:r>
          <m:t>i</m:t>
        </m:r>
        <m:r>
          <m:t>o</m:t>
        </m:r>
        <m:r>
          <m:t>n</m:t>
        </m:r>
        <m:r>
          <m:t>m</m:t>
        </m:r>
        <m:r>
          <m:t>o</m:t>
        </m:r>
        <m:r>
          <m:t>r</m:t>
        </m:r>
        <m:r>
          <m:t>e</m:t>
        </m:r>
        <m:r>
          <m:t>r</m:t>
        </m:r>
        <m:r>
          <m:t>e</m:t>
        </m:r>
        <m:r>
          <m:t>a</m:t>
        </m:r>
        <m:r>
          <m:t>d</m:t>
        </m:r>
        <m:r>
          <m:t>y</m:t>
        </m:r>
        <m:r>
          <m:t>t</m:t>
        </m:r>
        <m:r>
          <m:t>o</m:t>
        </m:r>
        <m:r>
          <m:t>s</m:t>
        </m:r>
        <m:r>
          <m:t>t</m:t>
        </m:r>
        <m:r>
          <m:t>a</m:t>
        </m:r>
        <m:r>
          <m:t>r</m:t>
        </m:r>
        <m:r>
          <m:t>t</m:t>
        </m:r>
        <m:r>
          <m:t>t</m:t>
        </m:r>
        <m:r>
          <m:t>h</m:t>
        </m:r>
        <m:r>
          <m:t>i</m:t>
        </m:r>
        <m:r>
          <m:t>s</m:t>
        </m:r>
        <m:r>
          <m:t>y</m:t>
        </m:r>
        <m:r>
          <m:t>e</m:t>
        </m:r>
        <m:r>
          <m:t>a</m:t>
        </m:r>
        <m:r>
          <m:t>r</m:t>
        </m:r>
        <m:r>
          <m:rPr>
            <m:sty m:val="p"/>
          </m:rPr>
          <m:t>,</m:t>
        </m:r>
        <m:r>
          <m:t>a</m:t>
        </m:r>
        <m:r>
          <m:t>n</m:t>
        </m:r>
        <m:r>
          <m:t>d</m:t>
        </m:r>
        <m:r>
          <m:t>a</m:t>
        </m:r>
        <m:r>
          <m:t>f</m:t>
        </m:r>
        <m:r>
          <m:t>u</m:t>
        </m:r>
        <m:r>
          <m:t>r</m:t>
        </m:r>
        <m:r>
          <m:t>t</m:t>
        </m:r>
        <m:r>
          <m:t>h</m:t>
        </m:r>
        <m:r>
          <m:t>e</m:t>
        </m:r>
        <m:r>
          <m:t>r</m:t>
        </m:r>
        <m:r>
          <m:t> </m:t>
        </m:r>
      </m:oMath>
      <w:r>
        <w:t xml:space="preserve">3 billion pipeline. A notable sub-theme is reinvestment into the former Taubman assets (Green Hills, International Plaza, Cherry Creek) — over $250 million committed — now that corporate integration is complete. Updates on start timing, returns, and any new project announcements are likely.</w:t>
      </w:r>
    </w:p>
    <w:bookmarkEnd w:id="15"/>
    <w:bookmarkStart w:id="16" w:name="X897156671ac2a258a16fb27a03469ab7f7f6806"/>
    <w:p>
      <w:pPr>
        <w:pStyle w:val="Heading3"/>
      </w:pPr>
      <w:r>
        <w:t xml:space="preserve">6. Balance sheet and refinancing costs</w:t>
      </w:r>
    </w:p>
    <w:p>
      <w:pPr>
        <w:pStyle w:val="FirstParagraph"/>
      </w:pPr>
      <w:r>
        <w:t xml:space="preserve">Interest expense remains a modest drag: management guided to a $0.25 to</w:t>
      </w:r>
      <w:r>
        <w:t xml:space="preserve"> </w:t>
      </w:r>
      <m:oMath>
        <m:r>
          <m:t>0.30</m:t>
        </m:r>
        <m:r>
          <m:t>h</m:t>
        </m:r>
        <m:r>
          <m:t>e</m:t>
        </m:r>
        <m:r>
          <m:t>a</m:t>
        </m:r>
        <m:r>
          <m:t>d</m:t>
        </m:r>
        <m:r>
          <m:t>w</m:t>
        </m:r>
        <m:r>
          <m:t>i</m:t>
        </m:r>
        <m:r>
          <m:t>n</m:t>
        </m:r>
        <m:r>
          <m:t>d</m:t>
        </m:r>
        <m:r>
          <m:t>f</m:t>
        </m:r>
        <m:r>
          <m:t>o</m:t>
        </m:r>
        <m:r>
          <m:t>r</m:t>
        </m:r>
        <m:r>
          <m:t>t</m:t>
        </m:r>
        <m:r>
          <m:t>h</m:t>
        </m:r>
        <m:r>
          <m:t>e</m:t>
        </m:r>
        <m:r>
          <m:t>y</m:t>
        </m:r>
        <m:r>
          <m:t>e</m:t>
        </m:r>
        <m:r>
          <m:t>a</m:t>
        </m:r>
        <m:r>
          <m:t>r</m:t>
        </m:r>
        <m:r>
          <m:t>b</m:t>
        </m:r>
        <m:r>
          <m:t>e</m:t>
        </m:r>
        <m:r>
          <m:t>t</m:t>
        </m:r>
        <m:r>
          <m:t>w</m:t>
        </m:r>
        <m:r>
          <m:t>e</m:t>
        </m:r>
        <m:r>
          <m:t>e</m:t>
        </m:r>
        <m:r>
          <m:t>n</m:t>
        </m:r>
        <m:r>
          <m:t>h</m:t>
        </m:r>
        <m:r>
          <m:t>i</m:t>
        </m:r>
        <m:r>
          <m:t>g</m:t>
        </m:r>
        <m:r>
          <m:t>h</m:t>
        </m:r>
        <m:r>
          <m:t>e</m:t>
        </m:r>
        <m:r>
          <m:t>r</m:t>
        </m:r>
        <m:r>
          <m:t>i</m:t>
        </m:r>
        <m:r>
          <m:t>n</m:t>
        </m:r>
        <m:r>
          <m:t>t</m:t>
        </m:r>
        <m:r>
          <m:t>e</m:t>
        </m:r>
        <m:r>
          <m:t>r</m:t>
        </m:r>
        <m:r>
          <m:t>e</m:t>
        </m:r>
        <m:r>
          <m:t>s</m:t>
        </m:r>
        <m:r>
          <m:t>t</m:t>
        </m:r>
        <m:r>
          <m:t>e</m:t>
        </m:r>
        <m:r>
          <m:t>x</m:t>
        </m:r>
        <m:r>
          <m:t>p</m:t>
        </m:r>
        <m:r>
          <m:t>e</m:t>
        </m:r>
        <m:r>
          <m:t>n</m:t>
        </m:r>
        <m:r>
          <m:t>s</m:t>
        </m:r>
        <m:r>
          <m:t>e</m:t>
        </m:r>
        <m:r>
          <m:t>a</m:t>
        </m:r>
        <m:r>
          <m:t>n</m:t>
        </m:r>
        <m:r>
          <m:t>d</m:t>
        </m:r>
        <m:r>
          <m:t>l</m:t>
        </m:r>
        <m:r>
          <m:t>o</m:t>
        </m:r>
        <m:r>
          <m:t>w</m:t>
        </m:r>
        <m:r>
          <m:t>e</m:t>
        </m:r>
        <m:r>
          <m:t>r</m:t>
        </m:r>
        <m:r>
          <m:t>i</m:t>
        </m:r>
        <m:r>
          <m:t>n</m:t>
        </m:r>
        <m:r>
          <m:t>t</m:t>
        </m:r>
        <m:r>
          <m:t>e</m:t>
        </m:r>
        <m:r>
          <m:t>r</m:t>
        </m:r>
        <m:r>
          <m:t>e</m:t>
        </m:r>
        <m:r>
          <m:t>s</m:t>
        </m:r>
        <m:r>
          <m:t>t</m:t>
        </m:r>
        <m:r>
          <m:t>i</m:t>
        </m:r>
        <m:r>
          <m:t>n</m:t>
        </m:r>
        <m:r>
          <m:t>c</m:t>
        </m:r>
        <m:r>
          <m:t>o</m:t>
        </m:r>
        <m:r>
          <m:t>m</m:t>
        </m:r>
        <m:r>
          <m:t>e</m:t>
        </m:r>
        <m:r>
          <m:rPr>
            <m:sty m:val="p"/>
          </m:rPr>
          <m:t>,</m:t>
        </m:r>
        <m:r>
          <m:t>t</m:t>
        </m:r>
        <m:r>
          <m:t>h</m:t>
        </m:r>
        <m:r>
          <m:t>o</m:t>
        </m:r>
        <m:r>
          <m:t>u</m:t>
        </m:r>
        <m:r>
          <m:t>g</m:t>
        </m:r>
        <m:r>
          <m:t>h</m:t>
        </m:r>
        <m:r>
          <m:t>i</m:t>
        </m:r>
        <m:r>
          <m:t>t</m:t>
        </m:r>
        <m:r>
          <m:t>n</m:t>
        </m:r>
        <m:r>
          <m:t>o</m:t>
        </m:r>
        <m:r>
          <m:t>t</m:t>
        </m:r>
        <m:r>
          <m:t>e</m:t>
        </m:r>
        <m:r>
          <m:t>d</m:t>
        </m:r>
        <m:r>
          <m:t>t</m:t>
        </m:r>
        <m:r>
          <m:t>h</m:t>
        </m:r>
        <m:r>
          <m:t>i</m:t>
        </m:r>
        <m:r>
          <m:t>s</m:t>
        </m:r>
        <m:r>
          <m:t>i</m:t>
        </m:r>
        <m:r>
          <m:t>s</m:t>
        </m:r>
        <m:r>
          <m:t>t</m:t>
        </m:r>
        <m:r>
          <m:t>r</m:t>
        </m:r>
        <m:r>
          <m:t>e</m:t>
        </m:r>
        <m:r>
          <m:t>n</m:t>
        </m:r>
        <m:r>
          <m:t>d</m:t>
        </m:r>
        <m:r>
          <m:t>i</m:t>
        </m:r>
        <m:r>
          <m:t>n</m:t>
        </m:r>
        <m:r>
          <m:t>g</m:t>
        </m:r>
        <m:r>
          <m:t>t</m:t>
        </m:r>
        <m:r>
          <m:t>o</m:t>
        </m:r>
        <m:r>
          <m:t>w</m:t>
        </m:r>
        <m:r>
          <m:t>a</m:t>
        </m:r>
        <m:r>
          <m:t>r</m:t>
        </m:r>
        <m:r>
          <m:t>d</m:t>
        </m:r>
        <m:r>
          <m:t>t</m:t>
        </m:r>
        <m:r>
          <m:t>h</m:t>
        </m:r>
        <m:r>
          <m:t>e</m:t>
        </m:r>
        <m:r>
          <m:t>l</m:t>
        </m:r>
        <m:r>
          <m:t>o</m:t>
        </m:r>
        <m:r>
          <m:t>w</m:t>
        </m:r>
        <m:r>
          <m:t>e</m:t>
        </m:r>
        <m:r>
          <m:t>r</m:t>
        </m:r>
        <m:r>
          <m:t>e</m:t>
        </m:r>
        <m:r>
          <m:t>n</m:t>
        </m:r>
        <m:r>
          <m:t>d</m:t>
        </m:r>
        <m:r>
          <m:rPr>
            <m:sty m:val="p"/>
          </m:rPr>
          <m:t>(</m:t>
        </m:r>
        <m:r>
          <m:t> </m:t>
        </m:r>
      </m:oMath>
      <w:r>
        <w:t xml:space="preserve">0.25) given tight credit spreads even as base rates stay elevated. Watch for updates on secured/unsecured financing activity (Simon completed a record-tight CMBS refinancing on The Shops at Crystals post-Q1) and further Klépierre exchangeable bond conversions, which have been reducing that debt load while generating non-cash gains.</w:t>
      </w:r>
    </w:p>
    <w:bookmarkEnd w:id="16"/>
    <w:bookmarkStart w:id="17" w:name="X811f22f3335797f62714fe39479ed1e65209a00"/>
    <w:p>
      <w:pPr>
        <w:pStyle w:val="Heading3"/>
      </w:pPr>
      <w:r>
        <w:t xml:space="preserve">7. Capital allocation — buybacks, dividend, M&amp;A</w:t>
      </w:r>
    </w:p>
    <w:p>
      <w:pPr>
        <w:pStyle w:val="FirstParagraph"/>
      </w:pPr>
      <w:r>
        <w:t xml:space="preserve">Buybacks slowed somewhat in Q1 (</w:t>
      </w:r>
      <m:oMath>
        <m:r>
          <m:t>175</m:t>
        </m:r>
        <m:r>
          <m:t>m</m:t>
        </m:r>
        <m:r>
          <m:t>i</m:t>
        </m:r>
        <m:r>
          <m:t>l</m:t>
        </m:r>
        <m:r>
          <m:t>l</m:t>
        </m:r>
        <m:r>
          <m:t>i</m:t>
        </m:r>
        <m:r>
          <m:t>o</m:t>
        </m:r>
        <m:r>
          <m:t>n</m:t>
        </m:r>
        <m:r>
          <m:rPr>
            <m:sty m:val="p"/>
          </m:rPr>
          <m:t>)</m:t>
        </m:r>
        <m:r>
          <m:t>a</m:t>
        </m:r>
        <m:r>
          <m:t>m</m:t>
        </m:r>
        <m:r>
          <m:t>i</m:t>
        </m:r>
        <m:r>
          <m:t>d</m:t>
        </m:r>
        <m:r>
          <m:t>m</m:t>
        </m:r>
        <m:r>
          <m:t>a</m:t>
        </m:r>
        <m:r>
          <m:t>r</m:t>
        </m:r>
        <m:r>
          <m:t>k</m:t>
        </m:r>
        <m:r>
          <m:t>e</m:t>
        </m:r>
        <m:r>
          <m:t>t</m:t>
        </m:r>
        <m:r>
          <m:t>v</m:t>
        </m:r>
        <m:r>
          <m:t>o</m:t>
        </m:r>
        <m:r>
          <m:t>l</m:t>
        </m:r>
        <m:r>
          <m:t>a</m:t>
        </m:r>
        <m:r>
          <m:t>t</m:t>
        </m:r>
        <m:r>
          <m:t>i</m:t>
        </m:r>
        <m:r>
          <m:t>l</m:t>
        </m:r>
        <m:r>
          <m:t>i</m:t>
        </m:r>
        <m:r>
          <m:t>t</m:t>
        </m:r>
        <m:r>
          <m:t>y</m:t>
        </m:r>
        <m:r>
          <m:rPr>
            <m:sty m:val="p"/>
          </m:rPr>
          <m:t>;</m:t>
        </m:r>
        <m:r>
          <m:t>m</m:t>
        </m:r>
        <m:r>
          <m:t>a</m:t>
        </m:r>
        <m:r>
          <m:t>n</m:t>
        </m:r>
        <m:r>
          <m:t>a</m:t>
        </m:r>
        <m:r>
          <m:t>g</m:t>
        </m:r>
        <m:r>
          <m:t>e</m:t>
        </m:r>
        <m:r>
          <m:t>m</m:t>
        </m:r>
        <m:r>
          <m:t>e</m:t>
        </m:r>
        <m:r>
          <m:t>n</m:t>
        </m:r>
        <m:r>
          <m:t>t</m:t>
        </m:r>
        <m:r>
          <m:t>i</m:t>
        </m:r>
        <m:r>
          <m:t>n</m:t>
        </m:r>
        <m:r>
          <m:t>d</m:t>
        </m:r>
        <m:r>
          <m:t>i</m:t>
        </m:r>
        <m:r>
          <m:t>c</m:t>
        </m:r>
        <m:r>
          <m:t>a</m:t>
        </m:r>
        <m:r>
          <m:t>t</m:t>
        </m:r>
        <m:r>
          <m:t>e</m:t>
        </m:r>
        <m:r>
          <m:t>d</m:t>
        </m:r>
        <m:r>
          <m:t>i</m:t>
        </m:r>
        <m:r>
          <m:t>t</m:t>
        </m:r>
        <m:r>
          <m:t>e</m:t>
        </m:r>
        <m:r>
          <m:t>x</m:t>
        </m:r>
        <m:r>
          <m:t>p</m:t>
        </m:r>
        <m:r>
          <m:t>e</m:t>
        </m:r>
        <m:r>
          <m:t>c</m:t>
        </m:r>
        <m:r>
          <m:t>t</m:t>
        </m:r>
        <m:r>
          <m:t>s</m:t>
        </m:r>
        <m:r>
          <m:t>t</m:t>
        </m:r>
        <m:r>
          <m:t>o</m:t>
        </m:r>
        <m:r>
          <m:t>r</m:t>
        </m:r>
        <m:r>
          <m:t>e</m:t>
        </m:r>
        <m:r>
          <m:t>m</m:t>
        </m:r>
        <m:r>
          <m:t>a</m:t>
        </m:r>
        <m:r>
          <m:t>i</m:t>
        </m:r>
        <m:r>
          <m:t>n</m:t>
        </m:r>
        <m:r>
          <m:t>a</m:t>
        </m:r>
        <m:r>
          <m:t>c</m:t>
        </m:r>
        <m:r>
          <m:t>t</m:t>
        </m:r>
        <m:r>
          <m:t>i</m:t>
        </m:r>
        <m:r>
          <m:t>v</m:t>
        </m:r>
        <m:r>
          <m:t>e</m:t>
        </m:r>
        <m:r>
          <m:rPr>
            <m:sty m:val="p"/>
          </m:rPr>
          <m:t>,</m:t>
        </m:r>
        <m:r>
          <m:t>p</m:t>
        </m:r>
        <m:r>
          <m:t>a</m:t>
        </m:r>
        <m:r>
          <m:t>r</m:t>
        </m:r>
        <m:r>
          <m:t>t</m:t>
        </m:r>
        <m:r>
          <m:t>i</m:t>
        </m:r>
        <m:r>
          <m:t>c</m:t>
        </m:r>
        <m:r>
          <m:t>u</m:t>
        </m:r>
        <m:r>
          <m:t>l</m:t>
        </m:r>
        <m:r>
          <m:t>a</m:t>
        </m:r>
        <m:r>
          <m:t>r</m:t>
        </m:r>
        <m:r>
          <m:t>l</m:t>
        </m:r>
        <m:r>
          <m:t>y</m:t>
        </m:r>
        <m:r>
          <m:t>t</m:t>
        </m:r>
        <m:r>
          <m:t>o</m:t>
        </m:r>
        <m:r>
          <m:t>o</m:t>
        </m:r>
        <m:r>
          <m:t>f</m:t>
        </m:r>
        <m:r>
          <m:t>f</m:t>
        </m:r>
        <m:r>
          <m:t>s</m:t>
        </m:r>
        <m:r>
          <m:t>e</m:t>
        </m:r>
        <m:r>
          <m:t>t</m:t>
        </m:r>
        <m:r>
          <m:t>t</m:t>
        </m:r>
        <m:r>
          <m:t>h</m:t>
        </m:r>
        <m:r>
          <m:t>e</m:t>
        </m:r>
        <m:r>
          <m:t> </m:t>
        </m:r>
        <m:r>
          <m:t>5</m:t>
        </m:r>
        <m:r>
          <m:t>m</m:t>
        </m:r>
        <m:r>
          <m:t>i</m:t>
        </m:r>
        <m:r>
          <m:t>l</m:t>
        </m:r>
        <m:r>
          <m:t>l</m:t>
        </m:r>
        <m:r>
          <m:t>i</m:t>
        </m:r>
        <m:r>
          <m:t>o</m:t>
        </m:r>
        <m:r>
          <m:t>n</m:t>
        </m:r>
        <m:r>
          <m:t>s</m:t>
        </m:r>
        <m:r>
          <m:t>h</m:t>
        </m:r>
        <m:r>
          <m:t>a</m:t>
        </m:r>
        <m:r>
          <m:t>r</m:t>
        </m:r>
        <m:r>
          <m:t>e</m:t>
        </m:r>
        <m:r>
          <m:t>s</m:t>
        </m:r>
        <m:r>
          <m:t>i</m:t>
        </m:r>
        <m:r>
          <m:t>s</m:t>
        </m:r>
        <m:r>
          <m:t>s</m:t>
        </m:r>
        <m:r>
          <m:t>u</m:t>
        </m:r>
        <m:r>
          <m:t>e</m:t>
        </m:r>
        <m:r>
          <m:t>d</m:t>
        </m:r>
        <m:r>
          <m:t>t</m:t>
        </m:r>
        <m:r>
          <m:t>o</m:t>
        </m:r>
        <m:r>
          <m:t>c</m:t>
        </m:r>
        <m:r>
          <m:t>o</m:t>
        </m:r>
        <m:r>
          <m:t>m</m:t>
        </m:r>
        <m:r>
          <m:t>p</m:t>
        </m:r>
        <m:r>
          <m:t>l</m:t>
        </m:r>
        <m:r>
          <m:t>e</m:t>
        </m:r>
        <m:r>
          <m:t>t</m:t>
        </m:r>
        <m:r>
          <m:t>e</m:t>
        </m:r>
        <m:r>
          <m:t>t</m:t>
        </m:r>
        <m:r>
          <m:t>h</m:t>
        </m:r>
        <m:r>
          <m:t>e</m:t>
        </m:r>
        <m:r>
          <m:t>T</m:t>
        </m:r>
        <m:r>
          <m:t>a</m:t>
        </m:r>
        <m:r>
          <m:t>u</m:t>
        </m:r>
        <m:r>
          <m:t>b</m:t>
        </m:r>
        <m:r>
          <m:t>m</m:t>
        </m:r>
        <m:r>
          <m:t>a</m:t>
        </m:r>
        <m:r>
          <m:t>n</m:t>
        </m:r>
        <m:r>
          <m:t>t</m:t>
        </m:r>
        <m:r>
          <m:t>r</m:t>
        </m:r>
        <m:r>
          <m:t>a</m:t>
        </m:r>
        <m:r>
          <m:t>n</m:t>
        </m:r>
        <m:r>
          <m:t>s</m:t>
        </m:r>
        <m:r>
          <m:t>a</m:t>
        </m:r>
        <m:r>
          <m:t>c</m:t>
        </m:r>
        <m:r>
          <m:t>t</m:t>
        </m:r>
        <m:r>
          <m:t>i</m:t>
        </m:r>
        <m:r>
          <m:t>o</m:t>
        </m:r>
        <m:r>
          <m:t>n</m:t>
        </m:r>
        <m:r>
          <m:rPr>
            <m:sty m:val="p"/>
          </m:rPr>
          <m:t>.</m:t>
        </m:r>
        <m:r>
          <m:t>T</m:t>
        </m:r>
        <m:r>
          <m:t>h</m:t>
        </m:r>
        <m:r>
          <m:t>e</m:t>
        </m:r>
        <m:r>
          <m:t>d</m:t>
        </m:r>
        <m:r>
          <m:t>i</m:t>
        </m:r>
        <m:r>
          <m:t>v</m:t>
        </m:r>
        <m:r>
          <m:t>i</m:t>
        </m:r>
        <m:r>
          <m:t>d</m:t>
        </m:r>
        <m:r>
          <m:t>e</m:t>
        </m:r>
        <m:r>
          <m:t>n</m:t>
        </m:r>
        <m:r>
          <m:t>d</m:t>
        </m:r>
        <m:r>
          <m:t>k</m:t>
        </m:r>
        <m:r>
          <m:t>e</m:t>
        </m:r>
        <m:r>
          <m:t>e</m:t>
        </m:r>
        <m:r>
          <m:t>p</m:t>
        </m:r>
        <m:r>
          <m:t>s</m:t>
        </m:r>
        <m:r>
          <m:t>c</m:t>
        </m:r>
        <m:r>
          <m:t>l</m:t>
        </m:r>
        <m:r>
          <m:t>i</m:t>
        </m:r>
        <m:r>
          <m:t>m</m:t>
        </m:r>
        <m:r>
          <m:t>b</m:t>
        </m:r>
        <m:r>
          <m:t>i</m:t>
        </m:r>
        <m:r>
          <m:t>n</m:t>
        </m:r>
        <m:r>
          <m:t>g</m:t>
        </m:r>
        <m:r>
          <m:rPr>
            <m:sty m:val="p"/>
          </m:rPr>
          <m:t>(</m:t>
        </m:r>
        <m:r>
          <m:t>7.1</m:t>
        </m:r>
      </m:oMath>
      <w:r>
        <w:t xml:space="preserve">50 billion in cumulative dividends paid** as a public company in Q3. Any commentary on acquisitions (following last year's Italy outlet mall, Brickell City Centre, and Phillips Place deals) versus buybacks versus development funding will matter for the capital-allocation narrative.</w:t>
      </w:r>
    </w:p>
    <w:bookmarkEnd w:id="17"/>
    <w:bookmarkEnd w:id="18"/>
    <w:bookmarkStart w:id="19" w:name="analyst-sentiment-snapshot"/>
    <w:p>
      <w:pPr>
        <w:pStyle w:val="Heading2"/>
      </w:pPr>
      <w:r>
        <w:t xml:space="preserve">Analyst Sentiment Snapshot</w:t>
      </w:r>
    </w:p>
    <w:p>
      <w:pPr>
        <w:pStyle w:val="FirstParagraph"/>
      </w:pPr>
      <w:r>
        <w:t xml:space="preserve">The setup is genuinely split. Deutsche Bank cut SPG to Hold in July, calling the stock "fully valued" even while raising its 2026/2027/2028 FFO estimates, and Wolfe Research downgraded on valuation grounds, saying the "all-time high share price is a challenging entry point." On the other side, Piper Sandler lifted its target to $285 (Overweight) and Jefferies upgraded to Strong Buy in late June. Truist, Morgan Stanley, and Barclays have all nudged targets higher while staying at Hold/Equal Weight. Net-net, consensus rating is roughly a "Moderate Buy" with average targets in the low-to-mid $200s — meaning the stock's reaction to Q2 results may hinge as much on the tone of guidance and 2027 setup commentary as on the headline beat itself.</w:t>
      </w:r>
    </w:p>
    <w:bookmarkEnd w:id="19"/>
    <w:bookmarkStart w:id="20" w:name="bottom-line"/>
    <w:p>
      <w:pPr>
        <w:pStyle w:val="Heading2"/>
      </w:pPr>
      <w:r>
        <w:t xml:space="preserve">Bottom Line</w:t>
      </w:r>
    </w:p>
    <w:p>
      <w:pPr>
        <w:pStyle w:val="FirstParagraph"/>
      </w:pPr>
      <w:r>
        <w:t xml:space="preserve">Simon comes into Q2 2026 with strong momentum: accelerating retailer sales, near-record occupancy, double-digit new-lease spreads, a growing high-return development pipeline, and guidance already raised once this year. The print itself is likely to show a solid beat given the company's consistent track record, but the more important signals for the stock will be: (1) whether full-year FFO guidance gets raised again, (2) how much the Taubman-driven NOI tailwind decelerates as expected, (3) any softening in tourist-market or discretionary-category sales tied to tariffs/macro, and (4) capital-allocation signals (buyback pace, dividend trajectory, M&amp;A discipline) under the newly settled Eli Simon leadership team. With the stock trading near record highs and analyst opinion genuinely divided on valuation, the reaction function this quarter looks more asymmetric to the downside on any disappointment than in recent quarters — but Simon's operational execution has repeatedly cleared a high bar.</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2026-08-10T00:06:54Z</dcterms:created>
  <dcterms:modified xsi:type="dcterms:W3CDTF">2026-08-10T00:06:54Z</dcterms:modified>
</cp:coreProperties>
</file>

<file path=docProps/custom.xml><?xml version="1.0" encoding="utf-8"?>
<Properties xmlns="http://schemas.openxmlformats.org/officeDocument/2006/custom-properties" xmlns:vt="http://schemas.openxmlformats.org/officeDocument/2006/docPropsVTypes"/>
</file>