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a12fd842bbf784f2e0602f86e0497c83970ca9a"/>
    <w:p>
      <w:pPr>
        <w:pStyle w:val="Heading1"/>
      </w:pPr>
      <w:r>
        <w:t xml:space="preserve">Simon Property Group (SPG) 2026Q2 Earnings Preview</w:t>
      </w:r>
    </w:p>
    <w:p>
      <w:pPr>
        <w:pStyle w:val="FirstParagraph"/>
      </w:pPr>
      <w:r>
        <w:rPr>
          <w:b/>
          <w:bCs/>
        </w:rPr>
        <w:t xml:space="preserve">Report date:</w:t>
      </w:r>
      <w:r>
        <w:t xml:space="preserve"> </w:t>
      </w:r>
      <w:r>
        <w:t xml:space="preserve">Monday, August 10, 2026, after market close</w:t>
      </w:r>
      <w:r>
        <w:br/>
      </w:r>
      <w:r>
        <w:rPr>
          <w:b/>
          <w:bCs/>
        </w:rPr>
        <w:t xml:space="preserve">Conference call:</w:t>
      </w:r>
      <w:r>
        <w:t xml:space="preserve"> </w:t>
      </w:r>
      <w:r>
        <w:t xml:space="preserve">5:00 p.m. ET (</w:t>
      </w:r>
      <w:hyperlink r:id="rId9">
        <w:r>
          <w:rPr>
            <w:rStyle w:val="Hyperlink"/>
          </w:rPr>
          <w:t xml:space="preserve">investors.simon.com</w:t>
        </w:r>
      </w:hyperlink>
      <w:r>
        <w:t xml:space="preserve">)</w:t>
      </w:r>
    </w:p>
    <w:bookmarkStart w:id="10" w:name="executive-view"/>
    <w:p>
      <w:pPr>
        <w:pStyle w:val="Heading2"/>
      </w:pPr>
      <w:r>
        <w:t xml:space="preserve">Executive view</w:t>
      </w:r>
    </w:p>
    <w:p>
      <w:pPr>
        <w:pStyle w:val="FirstParagraph"/>
      </w:pPr>
      <w:r>
        <w:t xml:space="preserve">Simon enters the quarter with unusually strong operating momentum: rising retailer sales, high occupancy, healthy leasing demand and incremental earnings from full ownership of the former Taubman Realty Group portfolio. The main question is no longer whether the business is healthy, but whether results and guidance can clear expectations after a substantial stock-price rally.</w:t>
      </w:r>
    </w:p>
    <w:p>
      <w:pPr>
        <w:pStyle w:val="BodyText"/>
      </w:pPr>
      <w:r>
        <w:t xml:space="preserve">SPG closed August 7 at</w:t>
      </w:r>
      <w:r>
        <w:t xml:space="preserve"> </w:t>
      </w:r>
      <w:r>
        <w:rPr>
          <w:b/>
          <w:bCs/>
        </w:rPr>
        <w:t xml:space="preserve">$222.95</w:t>
      </w:r>
      <w:r>
        <w:t xml:space="preserve">, up roughly</w:t>
      </w:r>
      <w:r>
        <w:t xml:space="preserve"> </w:t>
      </w:r>
      <w:r>
        <w:rPr>
          <w:b/>
          <w:bCs/>
        </w:rPr>
        <w:t xml:space="preserve">20% year to date</w:t>
      </w:r>
      <w:r>
        <w:t xml:space="preserve"> </w:t>
      </w:r>
      <w:r>
        <w:t xml:space="preserve">and about</w:t>
      </w:r>
      <w:r>
        <w:t xml:space="preserve"> </w:t>
      </w:r>
      <w:r>
        <w:rPr>
          <w:b/>
          <w:bCs/>
        </w:rPr>
        <w:t xml:space="preserve">11% since the first-quarter report</w:t>
      </w:r>
      <w:r>
        <w:t xml:space="preserve">. At that price, the shares trade around</w:t>
      </w:r>
      <w:r>
        <w:t xml:space="preserve"> </w:t>
      </w:r>
      <w:r>
        <w:rPr>
          <w:b/>
          <w:bCs/>
        </w:rPr>
        <w:t xml:space="preserve">16.9 times</w:t>
      </w:r>
      <w:r>
        <w:t xml:space="preserve"> </w:t>
      </w:r>
      <w:r>
        <w:t xml:space="preserve">the midpoint of management’s 2026 Real Estate FFO guidance and offer an approximately</w:t>
      </w:r>
      <w:r>
        <w:t xml:space="preserve"> </w:t>
      </w:r>
      <w:r>
        <w:rPr>
          <w:b/>
          <w:bCs/>
        </w:rPr>
        <w:t xml:space="preserve">4.0% annualized yield</w:t>
      </w:r>
      <w:r>
        <w:t xml:space="preserve"> </w:t>
      </w:r>
      <w:r>
        <w:t xml:space="preserve">on the current $2.25 quarterly dividend. The valuation is not prohibitive, but it raises the bar for a favorable reaction: a merely in-line quarter may not be enough without constructive guidance or another dividend increase.</w:t>
      </w:r>
    </w:p>
    <w:bookmarkEnd w:id="10"/>
    <w:bookmarkStart w:id="12" w:name="expectations-snapshot"/>
    <w:p>
      <w:pPr>
        <w:pStyle w:val="Heading2"/>
      </w:pPr>
      <w:r>
        <w:t xml:space="preserve">Expectations 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Reference point</w:t>
            </w:r>
          </w:p>
        </w:tc>
      </w:tr>
      <w:tr>
        <w:tc>
          <w:tcPr/>
          <w:p>
            <w:pPr>
              <w:pStyle w:val="Compact"/>
            </w:pPr>
            <w:r>
              <w:t xml:space="preserve">Reported FFO consensus</w:t>
            </w:r>
          </w:p>
        </w:tc>
        <w:tc>
          <w:tcPr/>
          <w:p>
            <w:pPr>
              <w:pStyle w:val="Compact"/>
              <w:jc w:val="right"/>
            </w:pPr>
            <w:r>
              <w:t xml:space="preserve">Approximately</w:t>
            </w:r>
            <w:r>
              <w:t xml:space="preserve"> </w:t>
            </w:r>
            <m:oMath>
              <m:r>
                <m:t>3.12</m:t>
              </m:r>
              <m:r>
                <m:rPr>
                  <m:sty m:val="p"/>
                </m:rPr>
                <m:t>−</m:t>
              </m:r>
            </m:oMath>
            <w:r>
              <w:rPr>
                <w:b/>
                <w:bCs/>
              </w:rPr>
              <w:t xml:space="preserve">3.18 per share</w:t>
            </w:r>
          </w:p>
        </w:tc>
      </w:tr>
      <w:tr>
        <w:tc>
          <w:tcPr/>
          <w:p>
            <w:pPr>
              <w:pStyle w:val="Compact"/>
            </w:pPr>
            <w:r>
              <w:t xml:space="preserve">Revenue consensus</w:t>
            </w:r>
          </w:p>
        </w:tc>
        <w:tc>
          <w:tcPr/>
          <w:p>
            <w:pPr>
              <w:pStyle w:val="Compact"/>
              <w:jc w:val="right"/>
            </w:pPr>
            <w:r>
              <w:t xml:space="preserve">Approximately</w:t>
            </w:r>
            <w:r>
              <w:t xml:space="preserve"> </w:t>
            </w:r>
            <m:oMath>
              <m:r>
                <m:t>1.61</m:t>
              </m:r>
              <m:r>
                <m:rPr>
                  <m:sty m:val="p"/>
                </m:rPr>
                <m:t>−</m:t>
              </m:r>
            </m:oMath>
            <w:r>
              <w:rPr>
                <w:b/>
                <w:bCs/>
              </w:rPr>
              <w:t xml:space="preserve">1.63 billion</w:t>
            </w:r>
          </w:p>
        </w:tc>
      </w:tr>
      <w:tr>
        <w:tc>
          <w:tcPr/>
          <w:p>
            <w:pPr>
              <w:pStyle w:val="Compact"/>
            </w:pPr>
            <w:r>
              <w:t xml:space="preserve">2025Q2 reported FFO</w:t>
            </w:r>
          </w:p>
        </w:tc>
        <w:tc>
          <w:tcPr/>
          <w:p>
            <w:pPr>
              <w:pStyle w:val="Compact"/>
              <w:jc w:val="right"/>
            </w:pPr>
            <w:r>
              <w:rPr>
                <w:b/>
                <w:bCs/>
              </w:rPr>
              <w:t xml:space="preserve">$3.15 per share</w:t>
            </w:r>
          </w:p>
        </w:tc>
      </w:tr>
      <w:tr>
        <w:tc>
          <w:tcPr/>
          <w:p>
            <w:pPr>
              <w:pStyle w:val="Compact"/>
            </w:pPr>
            <w:r>
              <w:t xml:space="preserve">2025Q2 Real Estate FFO</w:t>
            </w:r>
          </w:p>
        </w:tc>
        <w:tc>
          <w:tcPr/>
          <w:p>
            <w:pPr>
              <w:pStyle w:val="Compact"/>
              <w:jc w:val="right"/>
            </w:pPr>
            <w:r>
              <w:rPr>
                <w:b/>
                <w:bCs/>
              </w:rPr>
              <w:t xml:space="preserve">$3.05 per share</w:t>
            </w:r>
          </w:p>
        </w:tc>
      </w:tr>
      <w:tr>
        <w:tc>
          <w:tcPr/>
          <w:p>
            <w:pPr>
              <w:pStyle w:val="Compact"/>
            </w:pPr>
            <w:r>
              <w:t xml:space="preserve">Current 2026 Real Estate FFO guidance</w:t>
            </w:r>
          </w:p>
        </w:tc>
        <w:tc>
          <w:tcPr/>
          <w:p>
            <w:pPr>
              <w:pStyle w:val="Compact"/>
              <w:jc w:val="right"/>
            </w:pPr>
            <m:oMath>
              <m:r>
                <m:t>13.10</m:t>
              </m:r>
              <m:r>
                <m:rPr>
                  <m:sty m:val="p"/>
                </m:rPr>
                <m:t>−</m:t>
              </m:r>
            </m:oMath>
            <w:r>
              <w:rPr>
                <w:b/>
                <w:bCs/>
              </w:rPr>
              <w:t xml:space="preserve">13.25 per share</w:t>
            </w:r>
          </w:p>
        </w:tc>
      </w:tr>
      <w:tr>
        <w:tc>
          <w:tcPr/>
          <w:p>
            <w:pPr>
              <w:pStyle w:val="Compact"/>
            </w:pPr>
            <w:r>
              <w:t xml:space="preserve">2026 guidance midpoint</w:t>
            </w:r>
          </w:p>
        </w:tc>
        <w:tc>
          <w:tcPr/>
          <w:p>
            <w:pPr>
              <w:pStyle w:val="Compact"/>
              <w:jc w:val="right"/>
            </w:pPr>
            <w:r>
              <w:rPr>
                <w:b/>
                <w:bCs/>
              </w:rPr>
              <w:t xml:space="preserve">$13.175 per share</w:t>
            </w:r>
          </w:p>
        </w:tc>
      </w:tr>
      <w:tr>
        <w:tc>
          <w:tcPr/>
          <w:p>
            <w:pPr>
              <w:pStyle w:val="Compact"/>
            </w:pPr>
            <w:r>
              <w:t xml:space="preserve">Current quarterly dividend</w:t>
            </w:r>
          </w:p>
        </w:tc>
        <w:tc>
          <w:tcPr/>
          <w:p>
            <w:pPr>
              <w:pStyle w:val="Compact"/>
              <w:jc w:val="right"/>
            </w:pPr>
            <w:r>
              <w:rPr>
                <w:b/>
                <w:bCs/>
              </w:rPr>
              <w:t xml:space="preserve">$2.25 per share</w:t>
            </w:r>
          </w:p>
        </w:tc>
      </w:tr>
    </w:tbl>
    <w:p>
      <w:pPr>
        <w:pStyle w:val="BodyText"/>
      </w:pPr>
      <w:r>
        <w:t xml:space="preserve">Third-party data feeds cluster around</w:t>
      </w:r>
      <w:r>
        <w:t xml:space="preserve"> </w:t>
      </w:r>
      <m:oMath>
        <m:r>
          <m:t>3.12</m:t>
        </m:r>
        <m:r>
          <m:rPr>
            <m:sty m:val="p"/>
          </m:rPr>
          <m:t>−</m:t>
        </m:r>
      </m:oMath>
      <w:r>
        <w:t xml:space="preserve">3.18 for quarterly “EPS,” although they appear to be referring to Simon’s reported FFO rather than GAAP EPS. Revenue estimates are around</w:t>
      </w:r>
      <w:r>
        <w:t xml:space="preserve"> </w:t>
      </w:r>
      <m:oMath>
        <m:r>
          <m:t>1.61</m:t>
        </m:r>
        <m:r>
          <m:rPr>
            <m:sty m:val="p"/>
          </m:rPr>
          <m:t>−</m:t>
        </m:r>
      </m:oMath>
      <w:r>
        <w:t xml:space="preserve">1.63 billion. Investors should be careful with these comparisons because Simon now emphasizes</w:t>
      </w:r>
      <w:r>
        <w:t xml:space="preserve"> </w:t>
      </w:r>
      <w:r>
        <w:rPr>
          <w:b/>
          <w:bCs/>
        </w:rPr>
        <w:t xml:space="preserve">Real Estate FFO</w:t>
      </w:r>
      <w:r>
        <w:t xml:space="preserve">, which strips out volatile results from non-real-estate platform investments and certain fair-value adjustments. (</w:t>
      </w:r>
      <w:hyperlink r:id="rId11">
        <w:r>
          <w:rPr>
            <w:rStyle w:val="Hyperlink"/>
          </w:rPr>
          <w:t xml:space="preserve">benzinga.com</w:t>
        </w:r>
      </w:hyperlink>
      <w:r>
        <w:t xml:space="preserve">)</w:t>
      </w:r>
    </w:p>
    <w:bookmarkEnd w:id="12"/>
    <w:bookmarkStart w:id="14" w:name="Xcdfcdf3ca040050b3e9d63aaf52ea6fd3fde297"/>
    <w:p>
      <w:pPr>
        <w:pStyle w:val="Heading2"/>
      </w:pPr>
      <w:r>
        <w:t xml:space="preserve">The central issue: can Simon raise guidance again?</w:t>
      </w:r>
    </w:p>
    <w:p>
      <w:pPr>
        <w:pStyle w:val="FirstParagraph"/>
      </w:pPr>
      <w:r>
        <w:t xml:space="preserve">First-quarter Real Estate FFO was</w:t>
      </w:r>
      <w:r>
        <w:t xml:space="preserve"> </w:t>
      </w:r>
      <w:r>
        <w:rPr>
          <w:b/>
          <w:bCs/>
        </w:rPr>
        <w:t xml:space="preserve">$3.17 per share</w:t>
      </w:r>
      <w:r>
        <w:t xml:space="preserve">, up 7.5% year over year, prompting Simon to raise full-year guidance from</w:t>
      </w:r>
      <w:r>
        <w:t xml:space="preserve"> </w:t>
      </w:r>
      <m:oMath>
        <m:r>
          <m:t>13.00</m:t>
        </m:r>
        <m:r>
          <m:rPr>
            <m:sty m:val="p"/>
          </m:rPr>
          <m:t>−</m:t>
        </m:r>
      </m:oMath>
      <w:r>
        <w:t xml:space="preserve">13.25 to</w:t>
      </w:r>
      <w:r>
        <w:t xml:space="preserve"> </w:t>
      </w:r>
      <m:oMath>
        <m:r>
          <m:t>13.10</m:t>
        </m:r>
        <m:r>
          <m:rPr>
            <m:sty m:val="p"/>
          </m:rPr>
          <m:t>−</m:t>
        </m:r>
      </m:oMath>
      <w:r>
        <w:rPr>
          <w:b/>
          <w:bCs/>
        </w:rPr>
        <w:t xml:space="preserve">13.25</w:t>
      </w:r>
      <w:r>
        <w:t xml:space="preserve">. Domestic and portfolio NOI each grew 6.7%, occupancy was 96.0%, base minimum rent increased 5.2%, and trailing retailer sales rose 11.8%. (</w:t>
      </w:r>
      <w:hyperlink r:id="rId13">
        <w:r>
          <w:rPr>
            <w:rStyle w:val="Hyperlink"/>
          </w:rPr>
          <w:t xml:space="preserve">annualmeeting.simon.com</w:t>
        </w:r>
      </w:hyperlink>
      <w:r>
        <w:t xml:space="preserve">)</w:t>
      </w:r>
    </w:p>
    <w:p>
      <w:pPr>
        <w:pStyle w:val="BodyText"/>
      </w:pPr>
      <w:r>
        <w:t xml:space="preserve">After the first quarter, Simon needs another</w:t>
      </w:r>
      <w:r>
        <w:t xml:space="preserve"> </w:t>
      </w:r>
      <m:oMath>
        <m:r>
          <m:t>9.93</m:t>
        </m:r>
        <m:r>
          <m:rPr>
            <m:sty m:val="p"/>
          </m:rPr>
          <m:t>−</m:t>
        </m:r>
      </m:oMath>
      <w:r>
        <w:rPr>
          <w:b/>
          <w:bCs/>
        </w:rPr>
        <w:t xml:space="preserve">10.08 per share</w:t>
      </w:r>
      <w:r>
        <w:t xml:space="preserve"> </w:t>
      </w:r>
      <w:r>
        <w:t xml:space="preserve">of Real Estate FFO over the final three quarters to meet guidance. The midpoint implies an average of approximately</w:t>
      </w:r>
      <w:r>
        <w:t xml:space="preserve"> </w:t>
      </w:r>
      <w:r>
        <w:rPr>
          <w:b/>
          <w:bCs/>
        </w:rPr>
        <w:t xml:space="preserve">$3.34 per quarter</w:t>
      </w:r>
      <w:r>
        <w:t xml:space="preserve"> </w:t>
      </w:r>
      <w:r>
        <w:t xml:space="preserve">for Q2-Q4, although seasonal patterns make a simple quarterly average imperfect.</w:t>
      </w:r>
    </w:p>
    <w:p>
      <w:pPr>
        <w:pStyle w:val="BodyText"/>
      </w:pPr>
      <w:r>
        <w:t xml:space="preserve">A second-quarter guidance increase is possible, but not essential to a fundamentally good report. The hierarchy likely looks like this:</w:t>
      </w:r>
    </w:p>
    <w:p>
      <w:pPr>
        <w:pStyle w:val="Compact"/>
        <w:numPr>
          <w:ilvl w:val="0"/>
          <w:numId w:val="1001"/>
        </w:numPr>
      </w:pPr>
      <w:r>
        <w:rPr>
          <w:b/>
          <w:bCs/>
        </w:rPr>
        <w:t xml:space="preserve">Best outcome:</w:t>
      </w:r>
      <w:r>
        <w:t xml:space="preserve"> </w:t>
      </w:r>
      <w:r>
        <w:t xml:space="preserve">raise the low end and/or midpoint while keeping the high end intact or increasing it.</w:t>
      </w:r>
    </w:p>
    <w:p>
      <w:pPr>
        <w:pStyle w:val="Compact"/>
        <w:numPr>
          <w:ilvl w:val="0"/>
          <w:numId w:val="1001"/>
        </w:numPr>
      </w:pPr>
      <w:r>
        <w:rPr>
          <w:b/>
          <w:bCs/>
        </w:rPr>
        <w:t xml:space="preserve">Acceptable outcome:</w:t>
      </w:r>
      <w:r>
        <w:t xml:space="preserve"> </w:t>
      </w:r>
      <w:r>
        <w:t xml:space="preserve">maintain guidance but signal that results are trending toward the upper half.</w:t>
      </w:r>
    </w:p>
    <w:p>
      <w:pPr>
        <w:pStyle w:val="Compact"/>
        <w:numPr>
          <w:ilvl w:val="0"/>
          <w:numId w:val="1001"/>
        </w:numPr>
      </w:pPr>
      <w:r>
        <w:rPr>
          <w:b/>
          <w:bCs/>
        </w:rPr>
        <w:t xml:space="preserve">Disappointing outcome:</w:t>
      </w:r>
      <w:r>
        <w:t xml:space="preserve"> </w:t>
      </w:r>
      <w:r>
        <w:t xml:space="preserve">maintain guidance while citing softer sales, tenant caution, higher interest expense or slower NOI growth.</w:t>
      </w:r>
    </w:p>
    <w:p>
      <w:pPr>
        <w:pStyle w:val="Compact"/>
        <w:numPr>
          <w:ilvl w:val="0"/>
          <w:numId w:val="1001"/>
        </w:numPr>
      </w:pPr>
      <w:r>
        <w:rPr>
          <w:b/>
          <w:bCs/>
        </w:rPr>
        <w:t xml:space="preserve">Clearly negative:</w:t>
      </w:r>
      <w:r>
        <w:t xml:space="preserve"> </w:t>
      </w:r>
      <w:r>
        <w:t xml:space="preserve">reduce guidance or indicate that the first-quarter outperformance has reversed.</w:t>
      </w:r>
    </w:p>
    <w:p>
      <w:pPr>
        <w:pStyle w:val="FirstParagraph"/>
      </w:pPr>
      <w:r>
        <w:t xml:space="preserve">Because consensus full-year estimates are already near the company’s midpoint, the stock will probably respond more to guidance language and operating trends than to a small quarterly FFO beat.</w:t>
      </w:r>
    </w:p>
    <w:bookmarkEnd w:id="14"/>
    <w:bookmarkStart w:id="20" w:name="what-matters-most-in-the-quarter"/>
    <w:p>
      <w:pPr>
        <w:pStyle w:val="Heading2"/>
      </w:pPr>
      <w:r>
        <w:t xml:space="preserve">What matters most in the quarter</w:t>
      </w:r>
    </w:p>
    <w:bookmarkStart w:id="15" w:name="Xdbcbd79f4d1e9eef54b9af29d7820340e1ec82d"/>
    <w:p>
      <w:pPr>
        <w:pStyle w:val="Heading3"/>
      </w:pPr>
      <w:r>
        <w:t xml:space="preserve">1. Core property NOI growth</w:t>
      </w:r>
    </w:p>
    <w:p>
      <w:pPr>
        <w:pStyle w:val="FirstParagraph"/>
      </w:pPr>
      <w:r>
        <w:t xml:space="preserve">First-quarter domestic property NOI growth of 6.7% included approximately</w:t>
      </w:r>
      <w:r>
        <w:t xml:space="preserve"> </w:t>
      </w:r>
      <w:r>
        <w:rPr>
          <w:b/>
          <w:bCs/>
        </w:rPr>
        <w:t xml:space="preserve">120 basis points from the acquisition of the remaining Taubman interests</w:t>
      </w:r>
      <w:r>
        <w:t xml:space="preserve">. Management expected the acquisition to add around 100 basis points to full-year domestic NOI growth.</w:t>
      </w:r>
    </w:p>
    <w:p>
      <w:pPr>
        <w:pStyle w:val="BodyText"/>
      </w:pPr>
      <w:r>
        <w:t xml:space="preserve">For Q2, investors should separate:</w:t>
      </w:r>
    </w:p>
    <w:p>
      <w:pPr>
        <w:pStyle w:val="Compact"/>
        <w:numPr>
          <w:ilvl w:val="0"/>
          <w:numId w:val="1002"/>
        </w:numPr>
      </w:pPr>
      <w:r>
        <w:t xml:space="preserve">growth from the additional Taubman ownership;</w:t>
      </w:r>
    </w:p>
    <w:p>
      <w:pPr>
        <w:pStyle w:val="Compact"/>
        <w:numPr>
          <w:ilvl w:val="0"/>
          <w:numId w:val="1002"/>
        </w:numPr>
      </w:pPr>
      <w:r>
        <w:t xml:space="preserve">organic rent and occupancy gains;</w:t>
      </w:r>
    </w:p>
    <w:p>
      <w:pPr>
        <w:pStyle w:val="Compact"/>
        <w:numPr>
          <w:ilvl w:val="0"/>
          <w:numId w:val="1002"/>
        </w:numPr>
      </w:pPr>
      <w:r>
        <w:t xml:space="preserve">expense control and ancillary revenue;</w:t>
      </w:r>
    </w:p>
    <w:p>
      <w:pPr>
        <w:pStyle w:val="Compact"/>
        <w:numPr>
          <w:ilvl w:val="0"/>
          <w:numId w:val="1002"/>
        </w:numPr>
      </w:pPr>
      <w:r>
        <w:t xml:space="preserve">lease termination or other nonrecurring income.</w:t>
      </w:r>
    </w:p>
    <w:p>
      <w:pPr>
        <w:pStyle w:val="FirstParagraph"/>
      </w:pPr>
      <w:r>
        <w:t xml:space="preserve">A reported domestic NOI result above roughly 5% would reinforce the momentum story. A lower result could still be respectable if the organic component remains near or above Simon’s standing “at least 3%” framework.</w:t>
      </w:r>
    </w:p>
    <w:bookmarkEnd w:id="15"/>
    <w:bookmarkStart w:id="16" w:name="X909297096e167e02ddedd9a40933fdfcd323155"/>
    <w:p>
      <w:pPr>
        <w:pStyle w:val="Heading3"/>
      </w:pPr>
      <w:r>
        <w:t xml:space="preserve">2. Leasing and occupancy</w:t>
      </w:r>
    </w:p>
    <w:p>
      <w:pPr>
        <w:pStyle w:val="FirstParagraph"/>
      </w:pPr>
      <w:r>
        <w:t xml:space="preserve">Simon signed more than</w:t>
      </w:r>
      <w:r>
        <w:t xml:space="preserve"> </w:t>
      </w:r>
      <w:r>
        <w:rPr>
          <w:b/>
          <w:bCs/>
        </w:rPr>
        <w:t xml:space="preserve">1,100 leases covering 4.7 million square feet</w:t>
      </w:r>
      <w:r>
        <w:t xml:space="preserve"> </w:t>
      </w:r>
      <w:r>
        <w:t xml:space="preserve">in Q1, with approximately one-quarter representing new deals. It had completed more than 75% of 2026 expirations and reported a signed-not-open pipeline equal to 310 basis points of occupancy.</w:t>
      </w:r>
    </w:p>
    <w:p>
      <w:pPr>
        <w:pStyle w:val="BodyText"/>
      </w:pPr>
      <w:r>
        <w:t xml:space="preserve">Key Q2 questions include:</w:t>
      </w:r>
    </w:p>
    <w:p>
      <w:pPr>
        <w:pStyle w:val="Compact"/>
        <w:numPr>
          <w:ilvl w:val="0"/>
          <w:numId w:val="1003"/>
        </w:numPr>
      </w:pPr>
      <w:r>
        <w:t xml:space="preserve">Is the signed-not-open pipeline converting into rent on schedule?</w:t>
      </w:r>
    </w:p>
    <w:p>
      <w:pPr>
        <w:pStyle w:val="Compact"/>
        <w:numPr>
          <w:ilvl w:val="0"/>
          <w:numId w:val="1003"/>
        </w:numPr>
      </w:pPr>
      <w:r>
        <w:t xml:space="preserve">Did occupancy remain around 96%, or increase despite management’s willingness to hold space for higher-quality tenants?</w:t>
      </w:r>
    </w:p>
    <w:p>
      <w:pPr>
        <w:pStyle w:val="Compact"/>
        <w:numPr>
          <w:ilvl w:val="0"/>
          <w:numId w:val="1003"/>
        </w:numPr>
      </w:pPr>
      <w:r>
        <w:t xml:space="preserve">Are renewal economics still running in the mid-single-digit range?</w:t>
      </w:r>
    </w:p>
    <w:p>
      <w:pPr>
        <w:pStyle w:val="Compact"/>
        <w:numPr>
          <w:ilvl w:val="0"/>
          <w:numId w:val="1003"/>
        </w:numPr>
      </w:pPr>
      <w:r>
        <w:t xml:space="preserve">Are rents on new leases still materially above the prior-year new-lease cohort?</w:t>
      </w:r>
    </w:p>
    <w:p>
      <w:pPr>
        <w:pStyle w:val="Compact"/>
        <w:numPr>
          <w:ilvl w:val="0"/>
          <w:numId w:val="1003"/>
        </w:numPr>
      </w:pPr>
      <w:r>
        <w:t xml:space="preserve">Is demand still broad-based across luxury, juniors, athleisure, beauty, restaurants and digitally native brands?</w:t>
      </w:r>
    </w:p>
    <w:p>
      <w:pPr>
        <w:pStyle w:val="FirstParagraph"/>
      </w:pPr>
      <w:r>
        <w:t xml:space="preserve">For Simon,</w:t>
      </w:r>
      <w:r>
        <w:t xml:space="preserve"> </w:t>
      </w:r>
      <w:r>
        <w:rPr>
          <w:b/>
          <w:bCs/>
        </w:rPr>
        <w:t xml:space="preserve">cash-flow growth matters more than maximizing occupancy by a few tenths of a percentage point</w:t>
      </w:r>
      <w:r>
        <w:t xml:space="preserve">. Strong rent growth and tenant quality would be more valuable than simply reporting a higher leased percentage.</w:t>
      </w:r>
    </w:p>
    <w:bookmarkEnd w:id="16"/>
    <w:bookmarkStart w:id="17" w:name="X8a08dd459ea958ae2bbcea3d6542575cbc9b066"/>
    <w:p>
      <w:pPr>
        <w:pStyle w:val="Heading3"/>
      </w:pPr>
      <w:r>
        <w:t xml:space="preserve">3. Retailer sales and consumer health</w:t>
      </w:r>
    </w:p>
    <w:p>
      <w:pPr>
        <w:pStyle w:val="FirstParagraph"/>
      </w:pPr>
      <w:r>
        <w:t xml:space="preserve">Q1 retailer sales were excellent: comparable sales increased 6.5% during the quarter, while total quarterly sales volume rose 8.8%. Luxury, jewelry, watches, juniors and athleisure were particularly strong.</w:t>
      </w:r>
    </w:p>
    <w:p>
      <w:pPr>
        <w:pStyle w:val="BodyText"/>
      </w:pPr>
      <w:r>
        <w:t xml:space="preserve">There were two areas of caution:</w:t>
      </w:r>
    </w:p>
    <w:p>
      <w:pPr>
        <w:pStyle w:val="Compact"/>
        <w:numPr>
          <w:ilvl w:val="0"/>
          <w:numId w:val="1004"/>
        </w:numPr>
      </w:pPr>
      <w:r>
        <w:t xml:space="preserve">food and beverage sales were approximately flat;</w:t>
      </w:r>
    </w:p>
    <w:p>
      <w:pPr>
        <w:pStyle w:val="Compact"/>
        <w:numPr>
          <w:ilvl w:val="0"/>
          <w:numId w:val="1004"/>
        </w:numPr>
      </w:pPr>
      <w:r>
        <w:t xml:space="preserve">tourist-dependent properties exposed to Canadian and European visitors were softer, including Woodbury Common.</w:t>
      </w:r>
    </w:p>
    <w:p>
      <w:pPr>
        <w:pStyle w:val="FirstParagraph"/>
      </w:pPr>
      <w:r>
        <w:t xml:space="preserve">The Q2 call should clarify whether those pressures broadened. Important signals will include:</w:t>
      </w:r>
    </w:p>
    <w:p>
      <w:pPr>
        <w:pStyle w:val="Compact"/>
        <w:numPr>
          <w:ilvl w:val="0"/>
          <w:numId w:val="1005"/>
        </w:numPr>
      </w:pPr>
      <w:r>
        <w:t xml:space="preserve">sales and traffic growth by category;</w:t>
      </w:r>
    </w:p>
    <w:p>
      <w:pPr>
        <w:pStyle w:val="Compact"/>
        <w:numPr>
          <w:ilvl w:val="0"/>
          <w:numId w:val="1005"/>
        </w:numPr>
      </w:pPr>
      <w:r>
        <w:t xml:space="preserve">upper-income versus value-oriented consumer performance;</w:t>
      </w:r>
    </w:p>
    <w:p>
      <w:pPr>
        <w:pStyle w:val="Compact"/>
        <w:numPr>
          <w:ilvl w:val="0"/>
          <w:numId w:val="1005"/>
        </w:numPr>
      </w:pPr>
      <w:r>
        <w:t xml:space="preserve">tourist traffic in New York, Las Vegas, Hawaii and outlet locations;</w:t>
      </w:r>
    </w:p>
    <w:p>
      <w:pPr>
        <w:pStyle w:val="Compact"/>
        <w:numPr>
          <w:ilvl w:val="0"/>
          <w:numId w:val="1005"/>
        </w:numPr>
      </w:pPr>
      <w:r>
        <w:t xml:space="preserve">any tariff-related pressure on tenant margins, inventory or store-opening plans;</w:t>
      </w:r>
    </w:p>
    <w:p>
      <w:pPr>
        <w:pStyle w:val="Compact"/>
        <w:numPr>
          <w:ilvl w:val="0"/>
          <w:numId w:val="1005"/>
        </w:numPr>
      </w:pPr>
      <w:r>
        <w:t xml:space="preserve">restaurant demand and tenant credit conditions.</w:t>
      </w:r>
    </w:p>
    <w:p>
      <w:pPr>
        <w:pStyle w:val="FirstParagraph"/>
      </w:pPr>
      <w:r>
        <w:t xml:space="preserve">A deceleration from Q1’s unusually strong sales growth would not be alarming by itself. The more important issue is whether sales remain positive and continue to support rent growth and occupancy costs.</w:t>
      </w:r>
    </w:p>
    <w:bookmarkEnd w:id="17"/>
    <w:bookmarkStart w:id="18" w:name="X09ae619f2ecd70d3cbaf50f60a648a0f377ced2"/>
    <w:p>
      <w:pPr>
        <w:pStyle w:val="Heading3"/>
      </w:pPr>
      <w:r>
        <w:t xml:space="preserve">4. Taubman integration</w:t>
      </w:r>
    </w:p>
    <w:p>
      <w:pPr>
        <w:pStyle w:val="FirstParagraph"/>
      </w:pPr>
      <w:r>
        <w:t xml:space="preserve">Corporate integration of the former Taubman platform was effectively completed by the end of April. The next phase is extracting property-level value through leasing, operating efficiencies, ancillary income and redevelopment.</w:t>
      </w:r>
    </w:p>
    <w:p>
      <w:pPr>
        <w:pStyle w:val="BodyText"/>
      </w:pPr>
      <w:r>
        <w:t xml:space="preserve">Management has highlighted more than $250 million of planned investment at:</w:t>
      </w:r>
    </w:p>
    <w:p>
      <w:pPr>
        <w:pStyle w:val="Compact"/>
        <w:numPr>
          <w:ilvl w:val="0"/>
          <w:numId w:val="1006"/>
        </w:numPr>
      </w:pPr>
      <w:r>
        <w:t xml:space="preserve">The Mall at Green Hills;</w:t>
      </w:r>
    </w:p>
    <w:p>
      <w:pPr>
        <w:pStyle w:val="Compact"/>
        <w:numPr>
          <w:ilvl w:val="0"/>
          <w:numId w:val="1006"/>
        </w:numPr>
      </w:pPr>
      <w:r>
        <w:t xml:space="preserve">International Plaza;</w:t>
      </w:r>
    </w:p>
    <w:p>
      <w:pPr>
        <w:pStyle w:val="Compact"/>
        <w:numPr>
          <w:ilvl w:val="0"/>
          <w:numId w:val="1006"/>
        </w:numPr>
      </w:pPr>
      <w:r>
        <w:t xml:space="preserve">Cherry Creek Shopping Center.</w:t>
      </w:r>
    </w:p>
    <w:p>
      <w:pPr>
        <w:pStyle w:val="FirstParagraph"/>
      </w:pPr>
      <w:r>
        <w:t xml:space="preserve">Investors should look for evidence that:</w:t>
      </w:r>
    </w:p>
    <w:p>
      <w:pPr>
        <w:pStyle w:val="Compact"/>
        <w:numPr>
          <w:ilvl w:val="0"/>
          <w:numId w:val="1007"/>
        </w:numPr>
      </w:pPr>
      <w:r>
        <w:t xml:space="preserve">margins are improving;</w:t>
      </w:r>
    </w:p>
    <w:p>
      <w:pPr>
        <w:pStyle w:val="Compact"/>
        <w:numPr>
          <w:ilvl w:val="0"/>
          <w:numId w:val="1007"/>
        </w:numPr>
      </w:pPr>
      <w:r>
        <w:t xml:space="preserve">Simon’s leasing pipeline is translating into new deals;</w:t>
      </w:r>
    </w:p>
    <w:p>
      <w:pPr>
        <w:pStyle w:val="Compact"/>
        <w:numPr>
          <w:ilvl w:val="0"/>
          <w:numId w:val="1007"/>
        </w:numPr>
      </w:pPr>
      <w:r>
        <w:t xml:space="preserve">planned capital projects remain on budget;</w:t>
      </w:r>
    </w:p>
    <w:p>
      <w:pPr>
        <w:pStyle w:val="Compact"/>
        <w:numPr>
          <w:ilvl w:val="0"/>
          <w:numId w:val="1007"/>
        </w:numPr>
      </w:pPr>
      <w:r>
        <w:t xml:space="preserve">the assets are outperforming initial underwriting.</w:t>
      </w:r>
    </w:p>
    <w:p>
      <w:pPr>
        <w:pStyle w:val="FirstParagraph"/>
      </w:pPr>
      <w:r>
        <w:t xml:space="preserve">The Taubman assets are central to the medium-term growth case, but investors should avoid confusing the acquired ownership contribution with organic portfolio growth.</w:t>
      </w:r>
    </w:p>
    <w:bookmarkEnd w:id="18"/>
    <w:bookmarkStart w:id="19" w:name="X004512316e1855feaa379b7e21a78d22c6c1fda"/>
    <w:p>
      <w:pPr>
        <w:pStyle w:val="Heading3"/>
      </w:pPr>
      <w:r>
        <w:t xml:space="preserve">5. Development and redevelopment</w:t>
      </w:r>
    </w:p>
    <w:p>
      <w:pPr>
        <w:pStyle w:val="FirstParagraph"/>
      </w:pPr>
      <w:r>
        <w:t xml:space="preserve">At March 31, Simon had projects underway at 29 centers, representing</w:t>
      </w:r>
      <w:r>
        <w:t xml:space="preserve"> </w:t>
      </w:r>
      <w:r>
        <w:rPr>
          <w:b/>
          <w:bCs/>
        </w:rPr>
        <w:t xml:space="preserve">$1.06 billion of net investment at an expected blended stabilized return of 9%</w:t>
      </w:r>
      <w:r>
        <w:t xml:space="preserve">. Approximately half of that investment involved mixed-use projects, including residential and hotel components.</w:t>
      </w:r>
    </w:p>
    <w:p>
      <w:pPr>
        <w:pStyle w:val="BodyText"/>
      </w:pPr>
      <w:r>
        <w:t xml:space="preserve">Management also identified:</w:t>
      </w:r>
    </w:p>
    <w:p>
      <w:pPr>
        <w:pStyle w:val="Compact"/>
        <w:numPr>
          <w:ilvl w:val="0"/>
          <w:numId w:val="1008"/>
        </w:numPr>
      </w:pPr>
      <w:r>
        <w:t xml:space="preserve">roughly $1 billion of projects capable of starting during 2026;</w:t>
      </w:r>
    </w:p>
    <w:p>
      <w:pPr>
        <w:pStyle w:val="Compact"/>
        <w:numPr>
          <w:ilvl w:val="0"/>
          <w:numId w:val="1008"/>
        </w:numPr>
      </w:pPr>
      <w:r>
        <w:t xml:space="preserve">an additional approximately $3 billion longer-term pipeline.</w:t>
      </w:r>
    </w:p>
    <w:p>
      <w:pPr>
        <w:pStyle w:val="FirstParagraph"/>
      </w:pPr>
      <w:r>
        <w:t xml:space="preserve">The earnings call should provide updates on construction starts, expected completion dates, leasing commitments and costs. Particularly important is whether the expected 9% return remains intact despite construction-cost and financing pressures.</w:t>
      </w:r>
    </w:p>
    <w:p>
      <w:pPr>
        <w:pStyle w:val="BodyText"/>
      </w:pPr>
      <w:r>
        <w:t xml:space="preserve">A meaningful acceleration in redevelopment could support several years of NOI growth, but investors should insist that Simon preserve its historical discipline rather than pursue growth merely because capital is available.</w:t>
      </w:r>
    </w:p>
    <w:bookmarkEnd w:id="19"/>
    <w:bookmarkEnd w:id="20"/>
    <w:bookmarkStart w:id="26" w:name="balance-sheet-and-capital-allocation"/>
    <w:p>
      <w:pPr>
        <w:pStyle w:val="Heading2"/>
      </w:pPr>
      <w:r>
        <w:t xml:space="preserve">Balance sheet and capital allocation</w:t>
      </w:r>
    </w:p>
    <w:p>
      <w:pPr>
        <w:pStyle w:val="FirstParagraph"/>
      </w:pPr>
      <w:r>
        <w:t xml:space="preserve">Simon finished Q1 with approximately</w:t>
      </w:r>
      <w:r>
        <w:t xml:space="preserve"> </w:t>
      </w:r>
      <w:r>
        <w:rPr>
          <w:b/>
          <w:bCs/>
        </w:rPr>
        <w:t xml:space="preserve">$8.7 billion of liquidity</w:t>
      </w:r>
      <w:r>
        <w:t xml:space="preserve">, net debt to EBITDA of roughly 5.0 times and fixed-charge coverage of 4.6 times. The balance sheet remains a competitive advantage, particularly because it allows Simon to finance redevelopment when weaker property owners cannot.</w:t>
      </w:r>
    </w:p>
    <w:p>
      <w:pPr>
        <w:pStyle w:val="BodyText"/>
      </w:pPr>
      <w:r>
        <w:t xml:space="preserve">Interest expense nevertheless remains a headwind. Management previously estimated that higher interest expense and lower interest income would reduce 2026 FFO by approximately</w:t>
      </w:r>
      <w:r>
        <w:t xml:space="preserve"> </w:t>
      </w:r>
      <m:oMath>
        <m:r>
          <m:t>0.25</m:t>
        </m:r>
        <m:r>
          <m:rPr>
            <m:sty m:val="p"/>
          </m:rPr>
          <m:t>−</m:t>
        </m:r>
      </m:oMath>
      <w:r>
        <w:t xml:space="preserve">0.30 per share, subsequently indicating that the outcome was trending closer to $0.25.</w:t>
      </w:r>
    </w:p>
    <w:p>
      <w:pPr>
        <w:pStyle w:val="BodyText"/>
      </w:pPr>
      <w:r>
        <w:t xml:space="preserve">In June, Simon issued</w:t>
      </w:r>
      <w:r>
        <w:t xml:space="preserve"> </w:t>
      </w:r>
      <w:r>
        <w:rPr>
          <w:b/>
          <w:bCs/>
        </w:rPr>
        <w:t xml:space="preserve">€500 million of 3.65% unsecured notes due 2031</w:t>
      </w:r>
      <w:r>
        <w:t xml:space="preserve">, providing additional long-term capital and demonstrating continued access to attractive unsecured financing. (</w:t>
      </w:r>
      <w:hyperlink r:id="rId21">
        <w:r>
          <w:rPr>
            <w:rStyle w:val="Hyperlink"/>
          </w:rPr>
          <w:t xml:space="preserve">investors.simon.com</w:t>
        </w:r>
      </w:hyperlink>
      <w:r>
        <w:t xml:space="preserve">)</w:t>
      </w:r>
    </w:p>
    <w:p>
      <w:pPr>
        <w:pStyle w:val="BodyText"/>
      </w:pPr>
      <w:r>
        <w:t xml:space="preserve">Investors should focus on three capital-allocation decisions:</w:t>
      </w:r>
    </w:p>
    <w:bookmarkStart w:id="22" w:name="share-repurchases"/>
    <w:p>
      <w:pPr>
        <w:pStyle w:val="Heading3"/>
      </w:pPr>
      <w:r>
        <w:t xml:space="preserve">Share repurchases</w:t>
      </w:r>
    </w:p>
    <w:p>
      <w:pPr>
        <w:pStyle w:val="FirstParagraph"/>
      </w:pPr>
      <w:r>
        <w:t xml:space="preserve">Simon repurchased approximately</w:t>
      </w:r>
      <w:r>
        <w:t xml:space="preserve"> </w:t>
      </w:r>
      <w:r>
        <w:rPr>
          <w:b/>
          <w:bCs/>
        </w:rPr>
        <w:t xml:space="preserve">965,000 shares for $175 million in Q1</w:t>
      </w:r>
      <w:r>
        <w:t xml:space="preserve">, at an average price of $181.59. The stock traded substantially higher during Q2, so the pace may have slowed. A pause would be rational rather than necessarily negative.</w:t>
      </w:r>
    </w:p>
    <w:p>
      <w:pPr>
        <w:pStyle w:val="BodyText"/>
      </w:pPr>
      <w:r>
        <w:t xml:space="preserve">The relevant question is whether management still intends to repurchase the roughly five million shares issued in connection with the final Taubman transaction—and at what valuation.</w:t>
      </w:r>
    </w:p>
    <w:bookmarkEnd w:id="22"/>
    <w:bookmarkStart w:id="24" w:name="dividend"/>
    <w:p>
      <w:pPr>
        <w:pStyle w:val="Heading3"/>
      </w:pPr>
      <w:r>
        <w:t xml:space="preserve">Dividend</w:t>
      </w:r>
    </w:p>
    <w:p>
      <w:pPr>
        <w:pStyle w:val="FirstParagraph"/>
      </w:pPr>
      <w:r>
        <w:t xml:space="preserve">The quarterly dividend was raised to</w:t>
      </w:r>
      <w:r>
        <w:t xml:space="preserve"> </w:t>
      </w:r>
      <w:r>
        <w:rPr>
          <w:b/>
          <w:bCs/>
        </w:rPr>
        <w:t xml:space="preserve">$2.25</w:t>
      </w:r>
      <w:r>
        <w:t xml:space="preserve">, up 7.1% year over year. Simon has often paired operating strength with dividend growth, making the next declaration an important confidence signal. (</w:t>
      </w:r>
      <w:hyperlink r:id="rId23">
        <w:r>
          <w:rPr>
            <w:rStyle w:val="Hyperlink"/>
          </w:rPr>
          <w:t xml:space="preserve">investors.simon.com</w:t>
        </w:r>
      </w:hyperlink>
      <w:r>
        <w:t xml:space="preserve">)</w:t>
      </w:r>
    </w:p>
    <w:p>
      <w:pPr>
        <w:pStyle w:val="BodyText"/>
      </w:pPr>
      <w:r>
        <w:t xml:space="preserve">Another modest increase would be positive, but maintaining $2.25 would still leave a conservative payout relative to Real Estate FFO and internally generated cash flow.</w:t>
      </w:r>
    </w:p>
    <w:bookmarkEnd w:id="24"/>
    <w:bookmarkStart w:id="25" w:name="development-versus-acquisitions"/>
    <w:p>
      <w:pPr>
        <w:pStyle w:val="Heading3"/>
      </w:pPr>
      <w:r>
        <w:t xml:space="preserve">Development versus acquisitions</w:t>
      </w:r>
    </w:p>
    <w:p>
      <w:pPr>
        <w:pStyle w:val="FirstParagraph"/>
      </w:pPr>
      <w:r>
        <w:t xml:space="preserve">Management has estimated approximately $1.6 billion of annual free cash flow after dividends. With redevelopment projects offering expected returns near 9%, internal investment appears more attractive than aggressive acquisitions or repurchases at the current share price.</w:t>
      </w:r>
    </w:p>
    <w:bookmarkEnd w:id="25"/>
    <w:bookmarkEnd w:id="26"/>
    <w:bookmarkStart w:id="27" w:name="the-reported-ffo-complication"/>
    <w:p>
      <w:pPr>
        <w:pStyle w:val="Heading2"/>
      </w:pPr>
      <w:r>
        <w:t xml:space="preserve">The reported FFO complication</w:t>
      </w:r>
    </w:p>
    <w:p>
      <w:pPr>
        <w:pStyle w:val="FirstParagraph"/>
      </w:pPr>
      <w:r>
        <w:t xml:space="preserve">Simon’s</w:t>
      </w:r>
      <w:r>
        <w:t xml:space="preserve"> </w:t>
      </w:r>
      <w:r>
        <w:rPr>
          <w:b/>
          <w:bCs/>
        </w:rPr>
        <w:t xml:space="preserve">reported FFO</w:t>
      </w:r>
      <w:r>
        <w:t xml:space="preserve"> </w:t>
      </w:r>
      <w:r>
        <w:t xml:space="preserve">and</w:t>
      </w:r>
      <w:r>
        <w:t xml:space="preserve"> </w:t>
      </w:r>
      <w:r>
        <w:rPr>
          <w:b/>
          <w:bCs/>
        </w:rPr>
        <w:t xml:space="preserve">Real Estate FFO</w:t>
      </w:r>
      <w:r>
        <w:t xml:space="preserve"> </w:t>
      </w:r>
      <w:r>
        <w:t xml:space="preserve">can move in different directions because reported FFO includes results from:</w:t>
      </w:r>
    </w:p>
    <w:p>
      <w:pPr>
        <w:pStyle w:val="Compact"/>
        <w:numPr>
          <w:ilvl w:val="0"/>
          <w:numId w:val="1009"/>
        </w:numPr>
      </w:pPr>
      <w:r>
        <w:t xml:space="preserve">Catalyst Brands;</w:t>
      </w:r>
    </w:p>
    <w:p>
      <w:pPr>
        <w:pStyle w:val="Compact"/>
        <w:numPr>
          <w:ilvl w:val="0"/>
          <w:numId w:val="1009"/>
        </w:numPr>
      </w:pPr>
      <w:r>
        <w:t xml:space="preserve">Rue Gilt Groupe;</w:t>
      </w:r>
    </w:p>
    <w:p>
      <w:pPr>
        <w:pStyle w:val="Compact"/>
        <w:numPr>
          <w:ilvl w:val="0"/>
          <w:numId w:val="1009"/>
        </w:numPr>
      </w:pPr>
      <w:r>
        <w:t xml:space="preserve">Jamestown;</w:t>
      </w:r>
    </w:p>
    <w:p>
      <w:pPr>
        <w:pStyle w:val="Compact"/>
        <w:numPr>
          <w:ilvl w:val="0"/>
          <w:numId w:val="1009"/>
        </w:numPr>
      </w:pPr>
      <w:r>
        <w:t xml:space="preserve">related tax items and other platform-investment effects.</w:t>
      </w:r>
    </w:p>
    <w:p>
      <w:pPr>
        <w:pStyle w:val="FirstParagraph"/>
      </w:pPr>
      <w:r>
        <w:t xml:space="preserve">Q1 reported FFO was $2.91 per share, while Real Estate FFO was $3.17. The difference included losses from other platform investments as well as accelerated stock-compensation expense.</w:t>
      </w:r>
    </w:p>
    <w:p>
      <w:pPr>
        <w:pStyle w:val="BodyText"/>
      </w:pPr>
      <w:r>
        <w:t xml:space="preserve">Accordingly, an apparent miss against the roughly</w:t>
      </w:r>
      <w:r>
        <w:t xml:space="preserve"> </w:t>
      </w:r>
      <m:oMath>
        <m:r>
          <m:t>3.12</m:t>
        </m:r>
        <m:r>
          <m:rPr>
            <m:sty m:val="p"/>
          </m:rPr>
          <m:t>−</m:t>
        </m:r>
      </m:oMath>
      <w:r>
        <w:t xml:space="preserve">3.18 reported-FFO consensus may not indicate deterioration in Simon’s properties. Investors should examine the reconciliation and prioritize:</w:t>
      </w:r>
    </w:p>
    <w:p>
      <w:pPr>
        <w:pStyle w:val="Compact"/>
        <w:numPr>
          <w:ilvl w:val="0"/>
          <w:numId w:val="1010"/>
        </w:numPr>
      </w:pPr>
      <w:r>
        <w:t xml:space="preserve">Real Estate FFO;</w:t>
      </w:r>
    </w:p>
    <w:p>
      <w:pPr>
        <w:pStyle w:val="Compact"/>
        <w:numPr>
          <w:ilvl w:val="0"/>
          <w:numId w:val="1010"/>
        </w:numPr>
      </w:pPr>
      <w:r>
        <w:t xml:space="preserve">domestic and portfolio NOI;</w:t>
      </w:r>
    </w:p>
    <w:p>
      <w:pPr>
        <w:pStyle w:val="Compact"/>
        <w:numPr>
          <w:ilvl w:val="0"/>
          <w:numId w:val="1010"/>
        </w:numPr>
      </w:pPr>
      <w:r>
        <w:t xml:space="preserve">leasing and occupancy;</w:t>
      </w:r>
    </w:p>
    <w:p>
      <w:pPr>
        <w:pStyle w:val="Compact"/>
        <w:numPr>
          <w:ilvl w:val="0"/>
          <w:numId w:val="1010"/>
        </w:numPr>
      </w:pPr>
      <w:r>
        <w:t xml:space="preserve">full-year Real Estate FFO guidance;</w:t>
      </w:r>
    </w:p>
    <w:p>
      <w:pPr>
        <w:pStyle w:val="Compact"/>
        <w:numPr>
          <w:ilvl w:val="0"/>
          <w:numId w:val="1010"/>
        </w:numPr>
      </w:pPr>
      <w:r>
        <w:t xml:space="preserve">cash generation and capital allocation.</w:t>
      </w:r>
    </w:p>
    <w:bookmarkEnd w:id="27"/>
    <w:bookmarkStart w:id="28" w:name="key-risks-to-watch"/>
    <w:p>
      <w:pPr>
        <w:pStyle w:val="Heading2"/>
      </w:pPr>
      <w:r>
        <w:t xml:space="preserve">Key risks to watch</w:t>
      </w:r>
    </w:p>
    <w:p>
      <w:pPr>
        <w:pStyle w:val="Compact"/>
        <w:numPr>
          <w:ilvl w:val="0"/>
          <w:numId w:val="1011"/>
        </w:numPr>
      </w:pPr>
      <w:r>
        <w:rPr>
          <w:b/>
          <w:bCs/>
        </w:rPr>
        <w:t xml:space="preserve">Retail sales normalization:</w:t>
      </w:r>
      <w:r>
        <w:t xml:space="preserve"> </w:t>
      </w:r>
      <w:r>
        <w:t xml:space="preserve">Q1’s sales growth sets a difficult comparison for the rest of the year.</w:t>
      </w:r>
    </w:p>
    <w:p>
      <w:pPr>
        <w:pStyle w:val="Compact"/>
        <w:numPr>
          <w:ilvl w:val="0"/>
          <w:numId w:val="1011"/>
        </w:numPr>
      </w:pPr>
      <w:r>
        <w:rPr>
          <w:b/>
          <w:bCs/>
        </w:rPr>
        <w:t xml:space="preserve">Tariffs and inventory costs:</w:t>
      </w:r>
      <w:r>
        <w:t xml:space="preserve"> </w:t>
      </w:r>
      <w:r>
        <w:t xml:space="preserve">tenant margins could weaken before Simon sees any effect in occupancy or rent collection.</w:t>
      </w:r>
    </w:p>
    <w:p>
      <w:pPr>
        <w:pStyle w:val="Compact"/>
        <w:numPr>
          <w:ilvl w:val="0"/>
          <w:numId w:val="1011"/>
        </w:numPr>
      </w:pPr>
      <w:r>
        <w:rPr>
          <w:b/>
          <w:bCs/>
        </w:rPr>
        <w:t xml:space="preserve">International tourism:</w:t>
      </w:r>
      <w:r>
        <w:t xml:space="preserve"> </w:t>
      </w:r>
      <w:r>
        <w:t xml:space="preserve">weaker Canadian or European traffic could pressure major outlet and destination assets.</w:t>
      </w:r>
    </w:p>
    <w:p>
      <w:pPr>
        <w:pStyle w:val="Compact"/>
        <w:numPr>
          <w:ilvl w:val="0"/>
          <w:numId w:val="1011"/>
        </w:numPr>
      </w:pPr>
      <w:r>
        <w:rPr>
          <w:b/>
          <w:bCs/>
        </w:rPr>
        <w:t xml:space="preserve">Restaurant softness:</w:t>
      </w:r>
      <w:r>
        <w:t xml:space="preserve"> </w:t>
      </w:r>
      <w:r>
        <w:t xml:space="preserve">a broader slowdown in dining could affect both sales and leasing demand.</w:t>
      </w:r>
    </w:p>
    <w:p>
      <w:pPr>
        <w:pStyle w:val="Compact"/>
        <w:numPr>
          <w:ilvl w:val="0"/>
          <w:numId w:val="1011"/>
        </w:numPr>
      </w:pPr>
      <w:r>
        <w:rPr>
          <w:b/>
          <w:bCs/>
        </w:rPr>
        <w:t xml:space="preserve">Refinancing expense:</w:t>
      </w:r>
      <w:r>
        <w:t xml:space="preserve"> </w:t>
      </w:r>
      <w:r>
        <w:t xml:space="preserve">debt markets are open, but maturing low-coupon debt is generally being replaced at higher rates.</w:t>
      </w:r>
    </w:p>
    <w:p>
      <w:pPr>
        <w:pStyle w:val="Compact"/>
        <w:numPr>
          <w:ilvl w:val="0"/>
          <w:numId w:val="1011"/>
        </w:numPr>
      </w:pPr>
      <w:r>
        <w:rPr>
          <w:b/>
          <w:bCs/>
        </w:rPr>
        <w:t xml:space="preserve">Platform-investment volatility:</w:t>
      </w:r>
      <w:r>
        <w:t xml:space="preserve"> </w:t>
      </w:r>
      <w:r>
        <w:t xml:space="preserve">Catalyst, Rue Gilt Groupe and Jamestown can create noise in reported FFO.</w:t>
      </w:r>
    </w:p>
    <w:p>
      <w:pPr>
        <w:pStyle w:val="Compact"/>
        <w:numPr>
          <w:ilvl w:val="0"/>
          <w:numId w:val="1011"/>
        </w:numPr>
      </w:pPr>
      <w:r>
        <w:rPr>
          <w:b/>
          <w:bCs/>
        </w:rPr>
        <w:t xml:space="preserve">Valuation:</w:t>
      </w:r>
      <w:r>
        <w:t xml:space="preserve"> </w:t>
      </w:r>
      <w:r>
        <w:t xml:space="preserve">the share-price rally means investors are already expecting strong execution.</w:t>
      </w:r>
    </w:p>
    <w:p>
      <w:pPr>
        <w:pStyle w:val="Compact"/>
        <w:numPr>
          <w:ilvl w:val="0"/>
          <w:numId w:val="1011"/>
        </w:numPr>
      </w:pPr>
      <w:r>
        <w:rPr>
          <w:b/>
          <w:bCs/>
        </w:rPr>
        <w:t xml:space="preserve">Leadership transition:</w:t>
      </w:r>
      <w:r>
        <w:t xml:space="preserve"> </w:t>
      </w:r>
      <w:r>
        <w:t xml:space="preserve">operations have appeared steady under Eli Simon, but this remains only the second report following David Simon’s death and the first full quarter under the new leadership structure.</w:t>
      </w:r>
    </w:p>
    <w:bookmarkEnd w:id="28"/>
    <w:bookmarkStart w:id="32" w:name="scenario-framework"/>
    <w:p>
      <w:pPr>
        <w:pStyle w:val="Heading2"/>
      </w:pPr>
      <w:r>
        <w:t xml:space="preserve">Scenario framework</w:t>
      </w:r>
    </w:p>
    <w:p>
      <w:pPr>
        <w:pStyle w:val="FirstParagraph"/>
      </w:pPr>
      <w:r>
        <w:rPr>
          <w:i/>
          <w:iCs/>
        </w:rPr>
        <w:t xml:space="preserve">The figures below are an analytical framework, not formal consensus estimates.</w:t>
      </w:r>
    </w:p>
    <w:bookmarkStart w:id="29" w:name="bull-case"/>
    <w:p>
      <w:pPr>
        <w:pStyle w:val="Heading3"/>
      </w:pPr>
      <w:r>
        <w:t xml:space="preserve">Bull case</w:t>
      </w:r>
    </w:p>
    <w:p>
      <w:pPr>
        <w:pStyle w:val="Compact"/>
        <w:numPr>
          <w:ilvl w:val="0"/>
          <w:numId w:val="1012"/>
        </w:numPr>
      </w:pPr>
      <w:r>
        <w:t xml:space="preserve">Reported FFO above the upper end of the</w:t>
      </w:r>
      <w:r>
        <w:t xml:space="preserve"> </w:t>
      </w:r>
      <m:oMath>
        <m:r>
          <m:t>3.12</m:t>
        </m:r>
        <m:r>
          <m:rPr>
            <m:sty m:val="p"/>
          </m:rPr>
          <m:t>−</m:t>
        </m:r>
      </m:oMath>
      <w:r>
        <w:t xml:space="preserve">3.18 expectation range.</w:t>
      </w:r>
    </w:p>
    <w:p>
      <w:pPr>
        <w:pStyle w:val="Compact"/>
        <w:numPr>
          <w:ilvl w:val="0"/>
          <w:numId w:val="1012"/>
        </w:numPr>
      </w:pPr>
      <w:r>
        <w:t xml:space="preserve">Real Estate FFO shows mid- to high-single-digit growth.</w:t>
      </w:r>
    </w:p>
    <w:p>
      <w:pPr>
        <w:pStyle w:val="Compact"/>
        <w:numPr>
          <w:ilvl w:val="0"/>
          <w:numId w:val="1012"/>
        </w:numPr>
      </w:pPr>
      <w:r>
        <w:t xml:space="preserve">Domestic NOI growth remains above 5%, with healthy organic growth underneath the Taubman contribution.</w:t>
      </w:r>
    </w:p>
    <w:p>
      <w:pPr>
        <w:pStyle w:val="Compact"/>
        <w:numPr>
          <w:ilvl w:val="0"/>
          <w:numId w:val="1012"/>
        </w:numPr>
      </w:pPr>
      <w:r>
        <w:t xml:space="preserve">Occupancy and rents remain firm; sales growth stays broad-based.</w:t>
      </w:r>
    </w:p>
    <w:p>
      <w:pPr>
        <w:pStyle w:val="Compact"/>
        <w:numPr>
          <w:ilvl w:val="0"/>
          <w:numId w:val="1012"/>
        </w:numPr>
      </w:pPr>
      <w:r>
        <w:t xml:space="preserve">Full-year guidance is raised or clearly biased to the high end.</w:t>
      </w:r>
    </w:p>
    <w:p>
      <w:pPr>
        <w:pStyle w:val="Compact"/>
        <w:numPr>
          <w:ilvl w:val="0"/>
          <w:numId w:val="1012"/>
        </w:numPr>
      </w:pPr>
      <w:r>
        <w:t xml:space="preserve">Dividend increases and redevelopment starts accelerate without higher projected costs.</w:t>
      </w:r>
    </w:p>
    <w:p>
      <w:pPr>
        <w:pStyle w:val="FirstParagraph"/>
      </w:pPr>
      <w:r>
        <w:rPr>
          <w:b/>
          <w:bCs/>
        </w:rPr>
        <w:t xml:space="preserve">Likely interpretation:</w:t>
      </w:r>
      <w:r>
        <w:t xml:space="preserve"> </w:t>
      </w:r>
      <w:r>
        <w:t xml:space="preserve">the premium-mall growth cycle remains stronger and more durable than expected.</w:t>
      </w:r>
    </w:p>
    <w:bookmarkEnd w:id="29"/>
    <w:bookmarkStart w:id="30" w:name="base-case"/>
    <w:p>
      <w:pPr>
        <w:pStyle w:val="Heading3"/>
      </w:pPr>
      <w:r>
        <w:t xml:space="preserve">Base case</w:t>
      </w:r>
    </w:p>
    <w:p>
      <w:pPr>
        <w:pStyle w:val="Compact"/>
        <w:numPr>
          <w:ilvl w:val="0"/>
          <w:numId w:val="1013"/>
        </w:numPr>
      </w:pPr>
      <w:r>
        <w:t xml:space="preserve">Reported FFO around</w:t>
      </w:r>
      <w:r>
        <w:t xml:space="preserve"> </w:t>
      </w:r>
      <m:oMath>
        <m:r>
          <m:t>3.15</m:t>
        </m:r>
        <m:r>
          <m:rPr>
            <m:sty m:val="p"/>
          </m:rPr>
          <m:t>−</m:t>
        </m:r>
      </m:oMath>
      <w:r>
        <w:t xml:space="preserve">3.20.</w:t>
      </w:r>
    </w:p>
    <w:p>
      <w:pPr>
        <w:pStyle w:val="Compact"/>
        <w:numPr>
          <w:ilvl w:val="0"/>
          <w:numId w:val="1013"/>
        </w:numPr>
      </w:pPr>
      <w:r>
        <w:t xml:space="preserve">Domestic NOI growth moderates but remains around 4%-5%, including acquisition effects.</w:t>
      </w:r>
    </w:p>
    <w:p>
      <w:pPr>
        <w:pStyle w:val="Compact"/>
        <w:numPr>
          <w:ilvl w:val="0"/>
          <w:numId w:val="1013"/>
        </w:numPr>
      </w:pPr>
      <w:r>
        <w:t xml:space="preserve">Occupancy stays near 96% and base rent continues to grow.</w:t>
      </w:r>
    </w:p>
    <w:p>
      <w:pPr>
        <w:pStyle w:val="Compact"/>
        <w:numPr>
          <w:ilvl w:val="0"/>
          <w:numId w:val="1013"/>
        </w:numPr>
      </w:pPr>
      <w:r>
        <w:t xml:space="preserve">Full-year guidance is maintained, with management sounding comfortable about the midpoint or upper half.</w:t>
      </w:r>
    </w:p>
    <w:p>
      <w:pPr>
        <w:pStyle w:val="Compact"/>
        <w:numPr>
          <w:ilvl w:val="0"/>
          <w:numId w:val="1013"/>
        </w:numPr>
      </w:pPr>
      <w:r>
        <w:t xml:space="preserve">Dividend is held at $2.25 or increased modestly.</w:t>
      </w:r>
    </w:p>
    <w:p>
      <w:pPr>
        <w:pStyle w:val="FirstParagraph"/>
      </w:pPr>
      <w:r>
        <w:rPr>
          <w:b/>
          <w:bCs/>
        </w:rPr>
        <w:t xml:space="preserve">Likely interpretation:</w:t>
      </w:r>
      <w:r>
        <w:t xml:space="preserve"> </w:t>
      </w:r>
      <w:r>
        <w:t xml:space="preserve">a sound quarter, although the stock reaction could be muted given the strong year-to-date performance.</w:t>
      </w:r>
    </w:p>
    <w:bookmarkEnd w:id="30"/>
    <w:bookmarkStart w:id="31" w:name="bear-case"/>
    <w:p>
      <w:pPr>
        <w:pStyle w:val="Heading3"/>
      </w:pPr>
      <w:r>
        <w:t xml:space="preserve">Bear case</w:t>
      </w:r>
    </w:p>
    <w:p>
      <w:pPr>
        <w:pStyle w:val="Compact"/>
        <w:numPr>
          <w:ilvl w:val="0"/>
          <w:numId w:val="1014"/>
        </w:numPr>
      </w:pPr>
      <w:r>
        <w:t xml:space="preserve">Reported FFO below approximately $3.10, accompanied by weaker Real Estate FFO.</w:t>
      </w:r>
    </w:p>
    <w:p>
      <w:pPr>
        <w:pStyle w:val="Compact"/>
        <w:numPr>
          <w:ilvl w:val="0"/>
          <w:numId w:val="1014"/>
        </w:numPr>
      </w:pPr>
      <w:r>
        <w:t xml:space="preserve">Material slowing in retailer sales, traffic, leasing or rent growth.</w:t>
      </w:r>
    </w:p>
    <w:p>
      <w:pPr>
        <w:pStyle w:val="Compact"/>
        <w:numPr>
          <w:ilvl w:val="0"/>
          <w:numId w:val="1014"/>
        </w:numPr>
      </w:pPr>
      <w:r>
        <w:t xml:space="preserve">Organic NOI falls toward or below 3%.</w:t>
      </w:r>
    </w:p>
    <w:p>
      <w:pPr>
        <w:pStyle w:val="Compact"/>
        <w:numPr>
          <w:ilvl w:val="0"/>
          <w:numId w:val="1014"/>
        </w:numPr>
      </w:pPr>
      <w:r>
        <w:t xml:space="preserve">Management emphasizes tenant margin pressure, tourism weakness or higher financing costs.</w:t>
      </w:r>
    </w:p>
    <w:p>
      <w:pPr>
        <w:pStyle w:val="Compact"/>
        <w:numPr>
          <w:ilvl w:val="0"/>
          <w:numId w:val="1014"/>
        </w:numPr>
      </w:pPr>
      <w:r>
        <w:t xml:space="preserve">Guidance is maintained only because of acquisition benefits, or is reduced.</w:t>
      </w:r>
    </w:p>
    <w:p>
      <w:pPr>
        <w:pStyle w:val="FirstParagraph"/>
      </w:pPr>
      <w:r>
        <w:rPr>
          <w:b/>
          <w:bCs/>
        </w:rPr>
        <w:t xml:space="preserve">Likely interpretation:</w:t>
      </w:r>
      <w:r>
        <w:t xml:space="preserve"> </w:t>
      </w:r>
      <w:r>
        <w:t xml:space="preserve">the market may conclude that Q1 represented a peak growth rate and that the current valuation discounts too much optimism.</w:t>
      </w:r>
    </w:p>
    <w:bookmarkEnd w:id="31"/>
    <w:bookmarkEnd w:id="32"/>
    <w:bookmarkStart w:id="33" w:name="bottom-line"/>
    <w:p>
      <w:pPr>
        <w:pStyle w:val="Heading2"/>
      </w:pPr>
      <w:r>
        <w:t xml:space="preserve">Bottom line</w:t>
      </w:r>
    </w:p>
    <w:p>
      <w:pPr>
        <w:pStyle w:val="FirstParagraph"/>
      </w:pPr>
      <w:r>
        <w:t xml:space="preserve">Simon’s underlying business appears well positioned going into the report. The portfolio is highly occupied, retailer demand is broad, rents are increasing, Taubman integration offers additional upside, and the balance sheet can fund a substantial redevelopment pipeline.</w:t>
      </w:r>
    </w:p>
    <w:p>
      <w:pPr>
        <w:pStyle w:val="BodyText"/>
      </w:pPr>
      <w:r>
        <w:t xml:space="preserve">The risk is primarily in the</w:t>
      </w:r>
      <w:r>
        <w:t xml:space="preserve"> </w:t>
      </w:r>
      <w:r>
        <w:rPr>
          <w:b/>
          <w:bCs/>
        </w:rPr>
        <w:t xml:space="preserve">setup rather than the fundamentals</w:t>
      </w:r>
      <w:r>
        <w:t xml:space="preserve">. With the shares up about 20% in 2026 and trading near 17 times current-year Real Estate FFO guidance, investors should look for more than a token headline beat. The strongest confirmation would be sustained organic NOI growth, continued leasing momentum and a higher—or clearly upper-half-biased—full-year outlook.</w:t>
      </w:r>
    </w:p>
    <w:p>
      <w:pPr>
        <w:pStyle w:val="BodyText"/>
      </w:pPr>
      <w:r>
        <w:t xml:space="preserve">The most important number tomorrow will probably not be reported FFO. It will be</w:t>
      </w:r>
      <w:r>
        <w:t xml:space="preserve"> </w:t>
      </w:r>
      <w:r>
        <w:rPr>
          <w:b/>
          <w:bCs/>
        </w:rPr>
        <w:t xml:space="preserve">2026 Real Estate FFO guidance</w:t>
      </w:r>
      <w:r>
        <w:t xml:space="preserve">, followed closely by organic property NOI growth and management’s commentary on retailer sales and leasing demand.</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annualmeeting.simon.com/news-releases/news-release-details/simonr-reports-first-quarter-2026-results-increases-full-year?utm_source=openai" TargetMode="External" /><Relationship Type="http://schemas.openxmlformats.org/officeDocument/2006/relationships/hyperlink" Id="rId21" Target="https://investors.simon.com/news-releases/news-release-details/simon-property-group-announces-offering-euro-denominated-notes-2?utm_source=openai" TargetMode="External" /><Relationship Type="http://schemas.openxmlformats.org/officeDocument/2006/relationships/hyperlink" Id="rId9" Target="https://investors.simon.com/news-releases/news-release-details/simonr-announces-date-its-second-quarter-2026-earnings-release?utm_source=openai" TargetMode="External" /><Relationship Type="http://schemas.openxmlformats.org/officeDocument/2006/relationships/hyperlink" Id="rId23" Target="https://investors.simon.com/news-releases/news-release-details/simonr-reports-first-quarter-2026-results-increases-full-year?utm_source=openai" TargetMode="External" /><Relationship Type="http://schemas.openxmlformats.org/officeDocument/2006/relationships/hyperlink" Id="rId11" Target="https://www.benzinga.com/quote/SPG/earnings" TargetMode="External" /></Relationships>
</file>

<file path=word/_rels/footnotes.xml.rels><?xml version="1.0" encoding="UTF-8"?><Relationships xmlns="http://schemas.openxmlformats.org/package/2006/relationships"><Relationship Type="http://schemas.openxmlformats.org/officeDocument/2006/relationships/hyperlink" Id="rId13" Target="https://annualmeeting.simon.com/news-releases/news-release-details/simonr-reports-first-quarter-2026-results-increases-full-year?utm_source=openai" TargetMode="External" /><Relationship Type="http://schemas.openxmlformats.org/officeDocument/2006/relationships/hyperlink" Id="rId21" Target="https://investors.simon.com/news-releases/news-release-details/simon-property-group-announces-offering-euro-denominated-notes-2?utm_source=openai" TargetMode="External" /><Relationship Type="http://schemas.openxmlformats.org/officeDocument/2006/relationships/hyperlink" Id="rId9" Target="https://investors.simon.com/news-releases/news-release-details/simonr-announces-date-its-second-quarter-2026-earnings-release?utm_source=openai" TargetMode="External" /><Relationship Type="http://schemas.openxmlformats.org/officeDocument/2006/relationships/hyperlink" Id="rId23" Target="https://investors.simon.com/news-releases/news-release-details/simonr-reports-first-quarter-2026-results-increases-full-year?utm_source=openai" TargetMode="External" /><Relationship Type="http://schemas.openxmlformats.org/officeDocument/2006/relationships/hyperlink" Id="rId11" Target="https://www.benzinga.com/quote/SPG/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2026-08-10T00:04:43Z</dcterms:created>
  <dcterms:modified xsi:type="dcterms:W3CDTF">2026-08-10T00:04:43Z</dcterms:modified>
</cp:coreProperties>
</file>

<file path=docProps/custom.xml><?xml version="1.0" encoding="utf-8"?>
<Properties xmlns="http://schemas.openxmlformats.org/officeDocument/2006/custom-properties" xmlns:vt="http://schemas.openxmlformats.org/officeDocument/2006/docPropsVTypes"/>
</file>