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-earnings-predictions--2026-08-10"/>
    <w:p>
      <w:pPr>
        <w:pStyle w:val="Heading1"/>
      </w:pPr>
      <w:r>
        <w:t xml:space="preserve">SPG Earnings Predictions — 2026-08-10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Real Estate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~$3.14 vs. cons $3.10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~4.9% vs. cons 4.6%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Malls &amp; Premium Outlets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~96.1% vs. cons 96.1%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Real Estate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13.10</m:t>
              </m:r>
              <m:r>
                <m:rPr>
                  <m:sty m:val="p"/>
                </m:rPr>
                <m:t>−</m:t>
              </m:r>
            </m:oMath>
            <w:r>
              <w:t xml:space="preserve">13.30 (midpoint $13.20) vs. cons $13.22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interest-expense / interest-income headwind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rPr>
                  <m:sty m:val="p"/>
                </m:rPr>
                <m:t>(</m:t>
              </m:r>
              <m:r>
                <m:t>0.24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(0.26)/share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0.04</m:t>
              </m:r>
              <m:r>
                <m:t>F</m:t>
              </m:r>
              <m:r>
                <m:t>F</m:t>
              </m:r>
              <m:r>
                <m:t>O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N</m:t>
              </m:r>
              <m:r>
                <m:t>O</m:t>
              </m:r>
              <m:r>
                <m:t>I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e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F</m:t>
              </m:r>
              <m:r>
                <m:t>F</m:t>
              </m:r>
              <m:r>
                <m:t>O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13.20 versus $13.22 consensus) leaves little upward out-period estimate revision; the initial move should partially fade as investors focus on refinancing drag and already-elevated valuation.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2026-08-10T00:02:32Z</dcterms:created>
  <dcterms:modified xsi:type="dcterms:W3CDTF">2026-08-10T00:02:32Z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