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36c4abe01477166a626b40563e8ee8db589326"/>
    <w:p>
      <w:pPr>
        <w:pStyle w:val="Heading1"/>
      </w:pPr>
      <w:r>
        <w:t xml:space="preserve">Simon Property Group (NYSE: SPG) — 2Q26 Earnings Preview</w:t>
      </w:r>
    </w:p>
    <w:p>
      <w:pPr>
        <w:pStyle w:val="FirstParagraph"/>
      </w:pPr>
      <w:r>
        <w:rPr>
          <w:b/>
          <w:bCs/>
        </w:rPr>
        <w:t xml:space="preserve">Report timing:</w:t>
      </w:r>
      <w:r>
        <w:t xml:space="preserve"> </w:t>
      </w:r>
      <w:r>
        <w:t xml:space="preserve">Monday,</w:t>
      </w:r>
      <w:r>
        <w:t xml:space="preserve"> </w:t>
      </w:r>
      <w:r>
        <w:rPr>
          <w:b/>
          <w:bCs/>
        </w:rPr>
        <w:t xml:space="preserve">August 10, 2026</w:t>
      </w:r>
      <w:r>
        <w:t xml:space="preserve">, after the market close; conference call at</w:t>
      </w:r>
      <w:r>
        <w:t xml:space="preserve"> </w:t>
      </w:r>
      <w:r>
        <w:rPr>
          <w:b/>
          <w:bCs/>
        </w:rPr>
        <w:t xml:space="preserve">5:00 p.m. ET</w:t>
      </w:r>
      <w:r>
        <w:t xml:space="preserve">.</w:t>
      </w:r>
      <w:r>
        <w:br/>
      </w:r>
      <w:r>
        <w:rPr>
          <w:b/>
          <w:bCs/>
        </w:rPr>
        <w:t xml:space="preserve">Key message:</w:t>
      </w:r>
      <w:r>
        <w:t xml:space="preserve"> </w:t>
      </w:r>
      <w:r>
        <w:t xml:space="preserve">Simon enters 2Q with unusually strong operating momentum, a well-covered dividend, ample liquidity, and a large redevelopment runway. The more difficult question for the quarter is whether fundamentals remain strong enough to support further upside in full-year guidance after the stock’s sharp rerating.</w:t>
      </w:r>
    </w:p>
    <w:bookmarkStart w:id="10" w:name="what-matters-most"/>
    <w:p>
      <w:pPr>
        <w:pStyle w:val="Heading2"/>
      </w:pPr>
      <w:r>
        <w:t xml:space="preserve">What matters most</w:t>
      </w:r>
    </w:p>
    <w:bookmarkStart w:id="9" w:name="Xf9be0fa6dbada5f21765746ce13eb3b338145b6"/>
    <w:p>
      <w:pPr>
        <w:pStyle w:val="Heading3"/>
      </w:pPr>
      <w:r>
        <w:t xml:space="preserve">1. Core mall fundamentals should remain the centerpiece</w:t>
      </w:r>
    </w:p>
    <w:p>
      <w:pPr>
        <w:pStyle w:val="FirstParagraph"/>
      </w:pPr>
      <w:r>
        <w:t xml:space="preserve">In 1Q26, Simon reported</w:t>
      </w:r>
      <w:r>
        <w:t xml:space="preserve"> </w:t>
      </w:r>
      <w:r>
        <w:rPr>
          <w:b/>
          <w:bCs/>
        </w:rPr>
        <w:t xml:space="preserve">7.5% year-over-year growth in Real Estate FFO per share to</w:t>
      </w:r>
      <w:r>
        <w:rPr>
          <w:b/>
          <w:bCs/>
        </w:rPr>
        <w:t xml:space="preserve"> </w:t>
      </w:r>
      <m:oMath>
        <m:r>
          <m:t>3.17</m:t>
        </m:r>
        <m:r>
          <m:rPr>
            <m:sty m:val="p"/>
          </m:rPr>
          <m:t>*</m:t>
        </m:r>
        <m:r>
          <m:rPr>
            <m:sty m:val="p"/>
          </m:rPr>
          <m:t>*</m:t>
        </m:r>
        <m:r>
          <m:rPr>
            <m:sty m:val="p"/>
          </m:rPr>
          <m:t>,</m:t>
        </m:r>
        <m:r>
          <m:rPr>
            <m:sty m:val="p"/>
          </m:rPr>
          <m:t>*</m:t>
        </m:r>
        <m:r>
          <m:rPr>
            <m:sty m:val="p"/>
          </m:rPr>
          <m:t>*</m:t>
        </m:r>
        <m:r>
          <m:t>6.7</m:t>
        </m:r>
      </m:oMath>
      <w:r>
        <w:rPr>
          <w:b/>
          <w:bCs/>
        </w:rPr>
        <w:t xml:space="preserve">819 per square foot</w:t>
      </w:r>
      <w:r>
        <w:t xml:space="preserve">, while comparable sales increased</w:t>
      </w:r>
      <w:r>
        <w:t xml:space="preserve"> </w:t>
      </w:r>
      <w:r>
        <w:rPr>
          <w:b/>
          <w:bCs/>
        </w:rPr>
        <w:t xml:space="preserve">6.5% in the quarter</w:t>
      </w:r>
      <w:r>
        <w:t xml:space="preserve">.</w:t>
      </w:r>
    </w:p>
    <w:p>
      <w:pPr>
        <w:pStyle w:val="BodyText"/>
      </w:pPr>
      <w:r>
        <w:t xml:space="preserve">For 2Q, investors should focus less on headline FFO and more on whether the operating indicators that supported 1Q have held:</w:t>
      </w:r>
    </w:p>
    <w:p>
      <w:pPr>
        <w:pStyle w:val="Compact"/>
        <w:numPr>
          <w:ilvl w:val="0"/>
          <w:numId w:val="1001"/>
        </w:numPr>
      </w:pPr>
      <w:r>
        <w:rPr>
          <w:b/>
          <w:bCs/>
        </w:rPr>
        <w:t xml:space="preserve">Domestic-property NOI growth:</w:t>
      </w:r>
      <w:r>
        <w:t xml:space="preserve"> </w:t>
      </w:r>
      <w:r>
        <w:t xml:space="preserve">Management’s long-standing framework is “at least 3%,” but 1Q’s 6.7% result set a high bar.</w:t>
      </w:r>
    </w:p>
    <w:p>
      <w:pPr>
        <w:pStyle w:val="Compact"/>
        <w:numPr>
          <w:ilvl w:val="0"/>
          <w:numId w:val="1001"/>
        </w:numPr>
      </w:pPr>
      <w:r>
        <w:rPr>
          <w:b/>
          <w:bCs/>
        </w:rPr>
        <w:t xml:space="preserve">Leasing volume and lease economics:</w:t>
      </w:r>
      <w:r>
        <w:t xml:space="preserve"> </w:t>
      </w:r>
      <w:r>
        <w:t xml:space="preserve">In 1Q, Simon signed more than 1,100 leases totaling 4.7 million square feet; roughly one-quarter represented new deals. Commentary on new-lease rents, renewal increases, and the pipeline for 2027–2029 expirations will be important.</w:t>
      </w:r>
    </w:p>
    <w:p>
      <w:pPr>
        <w:pStyle w:val="Compact"/>
        <w:numPr>
          <w:ilvl w:val="0"/>
          <w:numId w:val="1001"/>
        </w:numPr>
      </w:pPr>
      <w:r>
        <w:rPr>
          <w:b/>
          <w:bCs/>
        </w:rPr>
        <w:t xml:space="preserve">Occupancy:</w:t>
      </w:r>
      <w:r>
        <w:t xml:space="preserve"> </w:t>
      </w:r>
      <w:r>
        <w:t xml:space="preserve">Management has suggested it could push occupancy toward 97%–97.5% if it chose, but is willing to preserve space for higher-quality tenants. A modest change in occupancy is therefore less important than evidence that rent growth and tenant quality are improving.</w:t>
      </w:r>
    </w:p>
    <w:p>
      <w:pPr>
        <w:pStyle w:val="Compact"/>
        <w:numPr>
          <w:ilvl w:val="0"/>
          <w:numId w:val="1001"/>
        </w:numPr>
      </w:pPr>
      <w:r>
        <w:rPr>
          <w:b/>
          <w:bCs/>
        </w:rPr>
        <w:t xml:space="preserve">Retailer sales and traffic:</w:t>
      </w:r>
      <w:r>
        <w:t xml:space="preserve"> </w:t>
      </w:r>
      <w:r>
        <w:t xml:space="preserve">Strength in luxury, jewelry, athleisure, and Gen Z-oriented brands drove 1Q. Watch for whether that strength broadens or whether softness in food &amp; beverage and tourist-heavy locations persists.</w:t>
      </w:r>
    </w:p>
    <w:p>
      <w:pPr>
        <w:pStyle w:val="FirstParagraph"/>
      </w:pPr>
      <w:r>
        <w:rPr>
          <w:b/>
          <w:bCs/>
        </w:rPr>
        <w:t xml:space="preserve">Important comparability issue:</w:t>
      </w:r>
      <w:r>
        <w:t xml:space="preserve"> </w:t>
      </w:r>
      <w:r>
        <w:t xml:space="preserve">About</w:t>
      </w:r>
      <w:r>
        <w:t xml:space="preserve"> </w:t>
      </w:r>
      <w:r>
        <w:rPr>
          <w:b/>
          <w:bCs/>
        </w:rPr>
        <w:t xml:space="preserve">120 basis points</w:t>
      </w:r>
      <w:r>
        <w:t xml:space="preserve"> </w:t>
      </w:r>
      <w:r>
        <w:t xml:space="preserve">of 1Q domestic NOI growth came from the acquisition of Simon’s remaining Taubman Realty Group interest. Investors should adjust their interpretation of reported NOI growth for that ownership step-up rather than treating all of it as organic.</w:t>
      </w:r>
    </w:p>
    <w:bookmarkEnd w:id="9"/>
    <w:bookmarkEnd w:id="10"/>
    <w:bookmarkStart w:id="11" w:name="X1d17fbba5d00163283195a5d586afa945411946"/>
    <w:p>
      <w:pPr>
        <w:pStyle w:val="Heading2"/>
      </w:pPr>
      <w:r>
        <w:t xml:space="preserve">2. Guidance is likely the principal stock catalyst</w:t>
      </w:r>
    </w:p>
    <w:p>
      <w:pPr>
        <w:pStyle w:val="FirstParagraph"/>
      </w:pPr>
      <w:r>
        <w:t xml:space="preserve">Simon raised 2026 Real Estate FFO guidance in May to</w:t>
      </w:r>
      <w:r>
        <w:t xml:space="preserve"> </w:t>
      </w:r>
      <m:oMath>
        <m:r>
          <m:t>13.10</m:t>
        </m:r>
        <m:r>
          <m:rPr>
            <m:sty m:val="p"/>
          </m:rPr>
          <m:t>–</m:t>
        </m:r>
      </m:oMath>
      <w:r>
        <w:rPr>
          <w:b/>
          <w:bCs/>
        </w:rPr>
        <w:t xml:space="preserve">13.25 per share</w:t>
      </w:r>
      <w:r>
        <w:t xml:space="preserve">, from a prior range of</w:t>
      </w:r>
      <w:r>
        <w:t xml:space="preserve"> </w:t>
      </w:r>
      <m:oMath>
        <m:r>
          <m:t>13.00</m:t>
        </m:r>
        <m:r>
          <m:rPr>
            <m:sty m:val="p"/>
          </m:rPr>
          <m:t>–</m:t>
        </m:r>
      </m:oMath>
      <w:r>
        <w:t xml:space="preserve">13.25. The midpoint implies about 5% growth from 2025’s $12.73 per share.</w:t>
      </w:r>
    </w:p>
    <w:p>
      <w:pPr>
        <w:pStyle w:val="BodyText"/>
      </w:pPr>
      <w:r>
        <w:t xml:space="preserve">The setup favors a constructive guidance discussion:</w:t>
      </w:r>
    </w:p>
    <w:p>
      <w:pPr>
        <w:pStyle w:val="Compact"/>
        <w:numPr>
          <w:ilvl w:val="0"/>
          <w:numId w:val="1002"/>
        </w:numPr>
      </w:pPr>
      <w:r>
        <w:t xml:space="preserve">1Q Real Estate FFO of $3.17 was a strong start.</w:t>
      </w:r>
    </w:p>
    <w:p>
      <w:pPr>
        <w:pStyle w:val="Compact"/>
        <w:numPr>
          <w:ilvl w:val="0"/>
          <w:numId w:val="1002"/>
        </w:numPr>
      </w:pPr>
      <w:r>
        <w:t xml:space="preserve">Leasing and sales trends were healthy.</w:t>
      </w:r>
    </w:p>
    <w:p>
      <w:pPr>
        <w:pStyle w:val="Compact"/>
        <w:numPr>
          <w:ilvl w:val="0"/>
          <w:numId w:val="1002"/>
        </w:numPr>
      </w:pPr>
      <w:r>
        <w:t xml:space="preserve">The company had completed more than 75% of its 2026 lease expirations by the May call and was ahead of the prior-year pace.</w:t>
      </w:r>
    </w:p>
    <w:p>
      <w:pPr>
        <w:pStyle w:val="Compact"/>
        <w:numPr>
          <w:ilvl w:val="0"/>
          <w:numId w:val="1002"/>
        </w:numPr>
      </w:pPr>
      <w:r>
        <w:t xml:space="preserve">Management described a larger leasing pipeline across legacy retailers, direct-to-consumer entrants, luxury, restaurants, and regional concepts.</w:t>
      </w:r>
    </w:p>
    <w:p>
      <w:pPr>
        <w:pStyle w:val="FirstParagraph"/>
      </w:pPr>
      <w:r>
        <w:t xml:space="preserve">However, investors should not assume an automatic raise. Management explicitly expected</w:t>
      </w:r>
      <w:r>
        <w:t xml:space="preserve"> </w:t>
      </w:r>
      <m:oMath>
        <m:r>
          <m:t>0.25</m:t>
        </m:r>
        <m:r>
          <m:rPr>
            <m:sty m:val="p"/>
          </m:rPr>
          <m:t>–</m:t>
        </m:r>
      </m:oMath>
      <w:r>
        <w:rPr>
          <w:b/>
          <w:bCs/>
        </w:rPr>
        <w:t xml:space="preserve">0.30 per-share</w:t>
      </w:r>
      <w:r>
        <w:t xml:space="preserve"> </w:t>
      </w:r>
      <w:r>
        <w:t xml:space="preserve">of combined higher interest expense and lower interest income in 2026, and said in May that this was still intact—albeit trending toward the lower end. The key question is whether property NOI growth is outpacing that financing drag sufficiently to justify a meaningful increase in the annual range.</w:t>
      </w:r>
    </w:p>
    <w:bookmarkEnd w:id="11"/>
    <w:bookmarkStart w:id="12" w:name="Xa9559bcb06829d2cee5a8b97121eaeb7bdf8b8b"/>
    <w:p>
      <w:pPr>
        <w:pStyle w:val="Heading2"/>
      </w:pPr>
      <w:r>
        <w:t xml:space="preserve">3. Financing execution remains a swing factor—but balance-sheet risk looks contained</w:t>
      </w:r>
    </w:p>
    <w:p>
      <w:pPr>
        <w:pStyle w:val="FirstParagraph"/>
      </w:pPr>
      <w:r>
        <w:t xml:space="preserve">At March 31, Simon had roughly</w:t>
      </w:r>
      <w:r>
        <w:t xml:space="preserve"> </w:t>
      </w:r>
      <w:r>
        <w:rPr>
          <w:b/>
          <w:bCs/>
        </w:rPr>
        <w:t xml:space="preserve">$8.7 billion of liquidity</w:t>
      </w:r>
      <w:r>
        <w:t xml:space="preserve">, a</w:t>
      </w:r>
      <w:r>
        <w:t xml:space="preserve"> </w:t>
      </w:r>
      <w:r>
        <w:rPr>
          <w:b/>
          <w:bCs/>
        </w:rPr>
        <w:t xml:space="preserve">4.6x fixed-charge coverage ratio</w:t>
      </w:r>
      <w:r>
        <w:t xml:space="preserve">, and net debt to EBITDA of</w:t>
      </w:r>
      <w:r>
        <w:t xml:space="preserve"> </w:t>
      </w:r>
      <w:r>
        <w:rPr>
          <w:b/>
          <w:bCs/>
        </w:rPr>
        <w:t xml:space="preserve">5.0x</w:t>
      </w:r>
      <w:r>
        <w:t xml:space="preserve">. Its debt profile was predominantly fixed-rate, with approximately</w:t>
      </w:r>
      <w:r>
        <w:t xml:space="preserve"> </w:t>
      </w:r>
      <w:r>
        <w:rPr>
          <w:b/>
          <w:bCs/>
        </w:rPr>
        <w:t xml:space="preserve">93.8%</w:t>
      </w:r>
      <w:r>
        <w:t xml:space="preserve"> </w:t>
      </w:r>
      <w:r>
        <w:t xml:space="preserve">of total debt fixed.</w:t>
      </w:r>
    </w:p>
    <w:p>
      <w:pPr>
        <w:pStyle w:val="BodyText"/>
      </w:pPr>
      <w:r>
        <w:t xml:space="preserve">The challenge is refinancing low-coupon maturities into a higher-rate environment. In 1Q, management said refinancings were running roughly</w:t>
      </w:r>
      <w:r>
        <w:t xml:space="preserve"> </w:t>
      </w:r>
      <w:r>
        <w:rPr>
          <w:b/>
          <w:bCs/>
        </w:rPr>
        <w:t xml:space="preserve">50 basis points</w:t>
      </w:r>
      <w:r>
        <w:t xml:space="preserve"> </w:t>
      </w:r>
      <w:r>
        <w:t xml:space="preserve">above maturing coupons, even though debt markets were open and credit spreads were favorable. Investors should watch for:</w:t>
      </w:r>
    </w:p>
    <w:p>
      <w:pPr>
        <w:pStyle w:val="Compact"/>
        <w:numPr>
          <w:ilvl w:val="0"/>
          <w:numId w:val="1003"/>
        </w:numPr>
      </w:pPr>
      <w:r>
        <w:t xml:space="preserve">Updates on 2026–2027 secured and unsecured maturities;</w:t>
      </w:r>
    </w:p>
    <w:p>
      <w:pPr>
        <w:pStyle w:val="Compact"/>
        <w:numPr>
          <w:ilvl w:val="0"/>
          <w:numId w:val="1003"/>
        </w:numPr>
      </w:pPr>
      <w:r>
        <w:t xml:space="preserve">Whether refinancing spreads or all-in coupons improved during 2Q;</w:t>
      </w:r>
    </w:p>
    <w:p>
      <w:pPr>
        <w:pStyle w:val="Compact"/>
        <w:numPr>
          <w:ilvl w:val="0"/>
          <w:numId w:val="1003"/>
        </w:numPr>
      </w:pPr>
      <w:r>
        <w:t xml:space="preserve">Any use of commercial paper, asset-level financings, or new unsecured issuance;</w:t>
      </w:r>
    </w:p>
    <w:p>
      <w:pPr>
        <w:pStyle w:val="Compact"/>
        <w:numPr>
          <w:ilvl w:val="0"/>
          <w:numId w:val="1003"/>
        </w:numPr>
      </w:pPr>
      <w:r>
        <w:t xml:space="preserve">Revised interest-expense expectations for the back half of 2026.</w:t>
      </w:r>
    </w:p>
    <w:p>
      <w:pPr>
        <w:pStyle w:val="FirstParagraph"/>
      </w:pPr>
      <w:r>
        <w:t xml:space="preserve">The positive counterpoint is that Simon has demonstrated access to multiple sources of capital. It refinanced Shops at Crystals after 1Q with a five-year CMBS loan at a 4.83% coupon, and it extended its $5 billion unsecured revolving-credit facility to 2030, with an option to extend to 2031.</w:t>
      </w:r>
    </w:p>
    <w:bookmarkEnd w:id="12"/>
    <w:bookmarkStart w:id="13" w:name="X81813f9fe423a3751d7ef0c168f6f2648521de9"/>
    <w:p>
      <w:pPr>
        <w:pStyle w:val="Heading2"/>
      </w:pPr>
      <w:r>
        <w:t xml:space="preserve">4. Redevelopment is the medium-term growth engine</w:t>
      </w:r>
    </w:p>
    <w:p>
      <w:pPr>
        <w:pStyle w:val="FirstParagraph"/>
      </w:pPr>
      <w:r>
        <w:t xml:space="preserve">Simon had</w:t>
      </w:r>
      <w:r>
        <w:t xml:space="preserve"> </w:t>
      </w:r>
      <m:oMath>
        <m:r>
          <m:t>1.06</m:t>
        </m:r>
        <m:r>
          <m:t>b</m:t>
        </m:r>
        <m:r>
          <m:t>i</m:t>
        </m:r>
        <m:r>
          <m:t>l</m:t>
        </m:r>
        <m:r>
          <m:t>l</m:t>
        </m:r>
        <m:r>
          <m:t>i</m:t>
        </m:r>
        <m:r>
          <m:t>o</m:t>
        </m:r>
        <m:r>
          <m:t>n</m:t>
        </m:r>
        <m:r>
          <m:rPr>
            <m:sty m:val="p"/>
          </m:rPr>
          <m:t>*</m:t>
        </m:r>
        <m:r>
          <m:rPr>
            <m:sty m:val="p"/>
          </m:rPr>
          <m:t>*</m:t>
        </m:r>
        <m:r>
          <m:t>o</m:t>
        </m:r>
        <m:r>
          <m:t>f</m:t>
        </m:r>
        <m:r>
          <m:t>p</m:t>
        </m:r>
        <m:r>
          <m:t>r</m:t>
        </m:r>
        <m:r>
          <m:t>o</m:t>
        </m:r>
        <m:r>
          <m:t>j</m:t>
        </m:r>
        <m:r>
          <m:t>e</m:t>
        </m:r>
        <m:r>
          <m:t>c</m:t>
        </m:r>
        <m:r>
          <m:t>t</m:t>
        </m:r>
        <m:r>
          <m:t>s</m:t>
        </m:r>
        <m:r>
          <m:t>u</m:t>
        </m:r>
        <m:r>
          <m:t>n</m:t>
        </m:r>
        <m:r>
          <m:t>d</m:t>
        </m:r>
        <m:r>
          <m:t>e</m:t>
        </m:r>
        <m:r>
          <m:t>r</m:t>
        </m:r>
        <m:r>
          <m:t>c</m:t>
        </m:r>
        <m:r>
          <m:t>o</m:t>
        </m:r>
        <m:r>
          <m:t>n</m:t>
        </m:r>
        <m:r>
          <m:t>s</m:t>
        </m:r>
        <m:r>
          <m:t>t</m:t>
        </m:r>
        <m:r>
          <m:t>r</m:t>
        </m:r>
        <m:r>
          <m:t>u</m:t>
        </m:r>
        <m:r>
          <m:t>c</m:t>
        </m:r>
        <m:r>
          <m:t>t</m:t>
        </m:r>
        <m:r>
          <m:t>i</m:t>
        </m:r>
        <m:r>
          <m:t>o</m:t>
        </m:r>
        <m:r>
          <m:t>n</m:t>
        </m:r>
        <m:r>
          <m:t>a</m:t>
        </m:r>
        <m:r>
          <m:t>t</m:t>
        </m:r>
        <m:r>
          <m:t>M</m:t>
        </m:r>
        <m:r>
          <m:t>a</m:t>
        </m:r>
        <m:r>
          <m:t>r</m:t>
        </m:r>
        <m:r>
          <m:t>c</m:t>
        </m:r>
        <m:r>
          <m:t>h</m:t>
        </m:r>
        <m:r>
          <m:t>31</m:t>
        </m:r>
        <m:r>
          <m:rPr>
            <m:sty m:val="p"/>
          </m:rPr>
          <m:t>,</m:t>
        </m:r>
        <m:r>
          <m:t>w</m:t>
        </m:r>
        <m:r>
          <m:t>i</m:t>
        </m:r>
        <m:r>
          <m:t>t</m:t>
        </m:r>
        <m:r>
          <m:t>h</m:t>
        </m:r>
        <m:r>
          <m:t>a</m:t>
        </m:r>
        <m:r>
          <m:t>n</m:t>
        </m:r>
        <m:r>
          <m:t>e</m:t>
        </m:r>
        <m:r>
          <m:t>x</m:t>
        </m:r>
        <m:r>
          <m:t>p</m:t>
        </m:r>
        <m:r>
          <m:t>e</m:t>
        </m:r>
        <m:r>
          <m:t>c</m:t>
        </m:r>
        <m:r>
          <m:t>t</m:t>
        </m:r>
        <m:r>
          <m:t>e</m:t>
        </m:r>
        <m:r>
          <m:t>d</m:t>
        </m:r>
        <m:r>
          <m:t>b</m:t>
        </m:r>
        <m:r>
          <m:t>l</m:t>
        </m:r>
        <m:r>
          <m:t>e</m:t>
        </m:r>
        <m:r>
          <m:t>n</m:t>
        </m:r>
        <m:r>
          <m:t>d</m:t>
        </m:r>
        <m:r>
          <m:t>e</m:t>
        </m:r>
        <m:r>
          <m:t>d</m:t>
        </m:r>
        <m:r>
          <m:t>s</m:t>
        </m:r>
        <m:r>
          <m:t>t</m:t>
        </m:r>
        <m:r>
          <m:t>a</m:t>
        </m:r>
        <m:r>
          <m:t>b</m:t>
        </m:r>
        <m:r>
          <m:t>i</m:t>
        </m:r>
        <m:r>
          <m:t>l</m:t>
        </m:r>
        <m:r>
          <m:t>i</m:t>
        </m:r>
        <m:r>
          <m:t>z</m:t>
        </m:r>
        <m:r>
          <m:t>e</m:t>
        </m:r>
        <m:r>
          <m:t>d</m:t>
        </m:r>
        <m:r>
          <m:t>r</m:t>
        </m:r>
        <m:r>
          <m:t>e</m:t>
        </m:r>
        <m:r>
          <m:t>t</m:t>
        </m:r>
        <m:r>
          <m:t>u</m:t>
        </m:r>
        <m:r>
          <m:t>r</m:t>
        </m:r>
        <m:r>
          <m:t>n</m:t>
        </m:r>
        <m:r>
          <m:t>o</m:t>
        </m:r>
        <m:r>
          <m:t>f</m:t>
        </m:r>
        <m:r>
          <m:t>r</m:t>
        </m:r>
        <m:r>
          <m:t>o</m:t>
        </m:r>
        <m:r>
          <m:t>u</m:t>
        </m:r>
        <m:r>
          <m:t>g</m:t>
        </m:r>
        <m:r>
          <m:t>h</m:t>
        </m:r>
        <m:r>
          <m:t>l</m:t>
        </m:r>
        <m:r>
          <m:t>y</m:t>
        </m:r>
        <m:r>
          <m:rPr>
            <m:sty m:val="p"/>
          </m:rPr>
          <m:t>*</m:t>
        </m:r>
        <m:r>
          <m:rPr>
            <m:sty m:val="p"/>
          </m:rPr>
          <m:t>*</m:t>
        </m:r>
        <m:r>
          <m:t>9</m:t>
        </m:r>
      </m:oMath>
      <w:r>
        <w:rPr>
          <w:b/>
          <w:bCs/>
        </w:rPr>
        <w:t xml:space="preserve">1 billion</w:t>
      </w:r>
      <w:r>
        <w:t xml:space="preserve"> </w:t>
      </w:r>
      <w:r>
        <w:t xml:space="preserve">of projects that could begin in 2026 and another</w:t>
      </w:r>
      <w:r>
        <w:t xml:space="preserve"> </w:t>
      </w:r>
      <w:r>
        <w:rPr>
          <w:b/>
          <w:bCs/>
        </w:rPr>
        <w:t xml:space="preserve">$3 billion</w:t>
      </w:r>
      <w:r>
        <w:t xml:space="preserve"> </w:t>
      </w:r>
      <w:r>
        <w:t xml:space="preserve">of longer-dated opportunities.</w:t>
      </w:r>
    </w:p>
    <w:p>
      <w:pPr>
        <w:pStyle w:val="BodyText"/>
      </w:pPr>
      <w:r>
        <w:t xml:space="preserve">The 2Q call should offer an update on:</w:t>
      </w:r>
    </w:p>
    <w:p>
      <w:pPr>
        <w:pStyle w:val="Compact"/>
        <w:numPr>
          <w:ilvl w:val="0"/>
          <w:numId w:val="1004"/>
        </w:numPr>
      </w:pPr>
      <w:r>
        <w:t xml:space="preserve">Construction starts and timing for the next $1 billion of projects;</w:t>
      </w:r>
    </w:p>
    <w:p>
      <w:pPr>
        <w:pStyle w:val="Compact"/>
        <w:numPr>
          <w:ilvl w:val="0"/>
          <w:numId w:val="1004"/>
        </w:numPr>
      </w:pPr>
      <w:r>
        <w:t xml:space="preserve">Leasing progress and opening dates at major redevelopments;</w:t>
      </w:r>
    </w:p>
    <w:p>
      <w:pPr>
        <w:pStyle w:val="Compact"/>
        <w:numPr>
          <w:ilvl w:val="0"/>
          <w:numId w:val="1004"/>
        </w:numPr>
      </w:pPr>
      <w:r>
        <w:t xml:space="preserve">Capital spending versus the initial plan;</w:t>
      </w:r>
    </w:p>
    <w:p>
      <w:pPr>
        <w:pStyle w:val="Compact"/>
        <w:numPr>
          <w:ilvl w:val="0"/>
          <w:numId w:val="1004"/>
        </w:numPr>
      </w:pPr>
      <w:r>
        <w:t xml:space="preserve">The integration and reinvestment opportunity in former Taubman centers—especially Green Hills, International Plaza, and Cherry Creek, where Simon previously identified more than $250 million of planned investment.</w:t>
      </w:r>
    </w:p>
    <w:p>
      <w:pPr>
        <w:pStyle w:val="FirstParagraph"/>
      </w:pPr>
      <w:r>
        <w:t xml:space="preserve">The investment case does not require major acquisitions: management estimates roughly</w:t>
      </w:r>
      <w:r>
        <w:t xml:space="preserve"> </w:t>
      </w:r>
      <w:r>
        <w:rPr>
          <w:b/>
          <w:bCs/>
        </w:rPr>
        <w:t xml:space="preserve">$1.6 billion of annual free cash flow after dividends</w:t>
      </w:r>
      <w:r>
        <w:t xml:space="preserve">, giving it flexibility to fund redevelopment, repurchase stock, reduce leverage, or pursue selective acquisitions.</w:t>
      </w:r>
    </w:p>
    <w:bookmarkEnd w:id="13"/>
    <w:bookmarkStart w:id="14" w:name="X50ac8f66c1af870eb0aa3664109d30044ff768a"/>
    <w:p>
      <w:pPr>
        <w:pStyle w:val="Heading2"/>
      </w:pPr>
      <w:r>
        <w:t xml:space="preserve">5. Capital allocation could matter as much as the quarter</w:t>
      </w:r>
    </w:p>
    <w:p>
      <w:pPr>
        <w:pStyle w:val="FirstParagraph"/>
      </w:pPr>
      <w:r>
        <w:t xml:space="preserve">Simon repurchased</w:t>
      </w:r>
      <w:r>
        <w:t xml:space="preserve"> </w:t>
      </w:r>
      <w:r>
        <w:rPr>
          <w:b/>
          <w:bCs/>
        </w:rPr>
        <w:t xml:space="preserve">$175 million</w:t>
      </w:r>
      <w:r>
        <w:t xml:space="preserve"> </w:t>
      </w:r>
      <w:r>
        <w:t xml:space="preserve">of stock in 1Q at an average price of</w:t>
      </w:r>
      <w:r>
        <w:t xml:space="preserve"> </w:t>
      </w:r>
      <m:oMath>
        <m:r>
          <m:t>181.59</m:t>
        </m:r>
        <m:r>
          <m:t>a</m:t>
        </m:r>
        <m:r>
          <m:t>n</m:t>
        </m:r>
        <m:r>
          <m:t>d</m:t>
        </m:r>
        <m:r>
          <m:t>s</m:t>
        </m:r>
        <m:r>
          <m:t>a</m:t>
        </m:r>
        <m:r>
          <m:t>i</m:t>
        </m:r>
        <m:r>
          <m:t>d</m:t>
        </m:r>
        <m:r>
          <m:t>i</m:t>
        </m:r>
        <m:r>
          <m:t>t</m:t>
        </m:r>
        <m:r>
          <m:t>e</m:t>
        </m:r>
        <m:r>
          <m:t>x</m:t>
        </m:r>
        <m:r>
          <m:t>p</m:t>
        </m:r>
        <m:r>
          <m:t>e</m:t>
        </m:r>
        <m:r>
          <m:t>c</m:t>
        </m:r>
        <m:r>
          <m:t>t</m:t>
        </m:r>
        <m:r>
          <m:t>e</m:t>
        </m:r>
        <m:r>
          <m:t>d</m:t>
        </m:r>
        <m:r>
          <m:t>t</m:t>
        </m:r>
        <m:r>
          <m:t>o</m:t>
        </m:r>
        <m:r>
          <m:t>c</m:t>
        </m:r>
        <m:r>
          <m:t>o</m:t>
        </m:r>
        <m:r>
          <m:t>n</m:t>
        </m:r>
        <m:r>
          <m:t>t</m:t>
        </m:r>
        <m:r>
          <m:t>i</m:t>
        </m:r>
        <m:r>
          <m:t>n</m:t>
        </m:r>
        <m:r>
          <m:t>u</m:t>
        </m:r>
        <m:r>
          <m:t>e</m:t>
        </m:r>
        <m:r>
          <m:t>r</m:t>
        </m:r>
        <m:r>
          <m:t>e</m:t>
        </m:r>
        <m:r>
          <m:t>p</m:t>
        </m:r>
        <m:r>
          <m:t>u</m:t>
        </m:r>
        <m:r>
          <m:t>r</m:t>
        </m:r>
        <m:r>
          <m:t>c</m:t>
        </m:r>
        <m:r>
          <m:t>h</m:t>
        </m:r>
        <m:r>
          <m:t>a</m:t>
        </m:r>
        <m:r>
          <m:t>s</m:t>
        </m:r>
        <m:r>
          <m:t>i</m:t>
        </m:r>
        <m:r>
          <m:t>n</m:t>
        </m:r>
        <m:r>
          <m:t>g</m:t>
        </m:r>
        <m:r>
          <m:t>t</m:t>
        </m:r>
        <m:r>
          <m:t>h</m:t>
        </m:r>
        <m:r>
          <m:t>e</m:t>
        </m:r>
        <m:r>
          <m:t>s</m:t>
        </m:r>
        <m:r>
          <m:t>h</m:t>
        </m:r>
        <m:r>
          <m:t>a</m:t>
        </m:r>
        <m:r>
          <m:t>r</m:t>
        </m:r>
        <m:r>
          <m:t>e</m:t>
        </m:r>
        <m:r>
          <m:t>s</m:t>
        </m:r>
        <m:r>
          <m:t>i</m:t>
        </m:r>
        <m:r>
          <m:t>s</m:t>
        </m:r>
        <m:r>
          <m:t>s</m:t>
        </m:r>
        <m:r>
          <m:t>u</m:t>
        </m:r>
        <m:r>
          <m:t>e</m:t>
        </m:r>
        <m:r>
          <m:t>d</m:t>
        </m:r>
        <m:r>
          <m:t>i</m:t>
        </m:r>
        <m:r>
          <m:t>n</m:t>
        </m:r>
        <m:r>
          <m:t>c</m:t>
        </m:r>
        <m:r>
          <m:t>o</m:t>
        </m:r>
        <m:r>
          <m:t>n</m:t>
        </m:r>
        <m:r>
          <m:t>n</m:t>
        </m:r>
        <m:r>
          <m:t>e</m:t>
        </m:r>
        <m:r>
          <m:t>c</m:t>
        </m:r>
        <m:r>
          <m:t>t</m:t>
        </m:r>
        <m:r>
          <m:t>i</m:t>
        </m:r>
        <m:r>
          <m:t>o</m:t>
        </m:r>
        <m:r>
          <m:t>n</m:t>
        </m:r>
        <m:r>
          <m:t>w</m:t>
        </m:r>
        <m:r>
          <m:t>i</m:t>
        </m:r>
        <m:r>
          <m:t>t</m:t>
        </m:r>
        <m:r>
          <m:t>h</m:t>
        </m:r>
        <m:r>
          <m:t>t</m:t>
        </m:r>
        <m:r>
          <m:t>h</m:t>
        </m:r>
        <m:r>
          <m:t>e</m:t>
        </m:r>
        <m:r>
          <m:t>f</m:t>
        </m:r>
        <m:r>
          <m:t>i</m:t>
        </m:r>
        <m:r>
          <m:t>n</m:t>
        </m:r>
        <m:r>
          <m:t>a</m:t>
        </m:r>
        <m:r>
          <m:t>l</m:t>
        </m:r>
        <m:r>
          <m:t>T</m:t>
        </m:r>
        <m:r>
          <m:t>a</m:t>
        </m:r>
        <m:r>
          <m:t>u</m:t>
        </m:r>
        <m:r>
          <m:t>b</m:t>
        </m:r>
        <m:r>
          <m:t>m</m:t>
        </m:r>
        <m:r>
          <m:t>a</m:t>
        </m:r>
        <m:r>
          <m:t>n</m:t>
        </m:r>
        <m:r>
          <m:t>b</m:t>
        </m:r>
        <m:r>
          <m:t>u</m:t>
        </m:r>
        <m:r>
          <m:t>y</m:t>
        </m:r>
        <m:r>
          <m:t>o</m:t>
        </m:r>
        <m:r>
          <m:t>u</m:t>
        </m:r>
        <m:r>
          <m:t>t</m:t>
        </m:r>
        <m:r>
          <m:rPr>
            <m:sty m:val="p"/>
          </m:rPr>
          <m:t>,</m:t>
        </m:r>
        <m:r>
          <m:t>s</m:t>
        </m:r>
        <m:r>
          <m:t>u</m:t>
        </m:r>
        <m:r>
          <m:t>b</m:t>
        </m:r>
        <m:r>
          <m:t>j</m:t>
        </m:r>
        <m:r>
          <m:t>e</m:t>
        </m:r>
        <m:r>
          <m:t>c</m:t>
        </m:r>
        <m:r>
          <m:t>t</m:t>
        </m:r>
        <m:r>
          <m:t>t</m:t>
        </m:r>
        <m:r>
          <m:t>o</m:t>
        </m:r>
        <m:r>
          <m:t>m</m:t>
        </m:r>
        <m:r>
          <m:t>a</m:t>
        </m:r>
        <m:r>
          <m:t>r</m:t>
        </m:r>
        <m:r>
          <m:t>k</m:t>
        </m:r>
        <m:r>
          <m:t>e</m:t>
        </m:r>
        <m:r>
          <m:t>t</m:t>
        </m:r>
        <m:r>
          <m:t>c</m:t>
        </m:r>
        <m:r>
          <m:t>o</m:t>
        </m:r>
        <m:r>
          <m:t>n</m:t>
        </m:r>
        <m:r>
          <m:t>d</m:t>
        </m:r>
        <m:r>
          <m:t>i</m:t>
        </m:r>
        <m:r>
          <m:t>t</m:t>
        </m:r>
        <m:r>
          <m:t>i</m:t>
        </m:r>
        <m:r>
          <m:t>o</m:t>
        </m:r>
        <m:r>
          <m:t>n</m:t>
        </m:r>
        <m:r>
          <m:t>s</m:t>
        </m:r>
        <m:r>
          <m:rPr>
            <m:sty m:val="p"/>
          </m:rPr>
          <m:t>.</m:t>
        </m:r>
        <m:r>
          <m:t>I</m:t>
        </m:r>
        <m:r>
          <m:t>t</m:t>
        </m:r>
        <m:r>
          <m:t>a</m:t>
        </m:r>
        <m:r>
          <m:t>l</m:t>
        </m:r>
        <m:r>
          <m:t>s</m:t>
        </m:r>
        <m:r>
          <m:t>o</m:t>
        </m:r>
        <m:r>
          <m:t>r</m:t>
        </m:r>
        <m:r>
          <m:t>a</m:t>
        </m:r>
        <m:r>
          <m:t>i</m:t>
        </m:r>
        <m:r>
          <m:t>s</m:t>
        </m:r>
        <m:r>
          <m:t>e</m:t>
        </m:r>
        <m:r>
          <m:t>d</m:t>
        </m:r>
        <m:r>
          <m:t>t</m:t>
        </m:r>
        <m:r>
          <m:t>h</m:t>
        </m:r>
        <m:r>
          <m:t>e</m:t>
        </m:r>
        <m:r>
          <m:t>q</m:t>
        </m:r>
        <m:r>
          <m:t>u</m:t>
        </m:r>
        <m:r>
          <m:t>a</m:t>
        </m:r>
        <m:r>
          <m:t>r</m:t>
        </m:r>
        <m:r>
          <m:t>t</m:t>
        </m:r>
        <m:r>
          <m:t>e</m:t>
        </m:r>
        <m:r>
          <m:t>r</m:t>
        </m:r>
        <m:r>
          <m:t>l</m:t>
        </m:r>
        <m:r>
          <m:t>y</m:t>
        </m:r>
        <m:r>
          <m:t>d</m:t>
        </m:r>
        <m:r>
          <m:t>i</m:t>
        </m:r>
        <m:r>
          <m:t>v</m:t>
        </m:r>
        <m:r>
          <m:t>i</m:t>
        </m:r>
        <m:r>
          <m:t>d</m:t>
        </m:r>
        <m:r>
          <m:t>e</m:t>
        </m:r>
        <m:r>
          <m:t>n</m:t>
        </m:r>
        <m:r>
          <m:t>d</m:t>
        </m:r>
        <m:r>
          <m:t>7.1</m:t>
        </m:r>
      </m:oMath>
      <w:r>
        <w:t xml:space="preserve">2.25 per share**.</w:t>
      </w:r>
    </w:p>
    <w:p>
      <w:pPr>
        <w:pStyle w:val="BodyText"/>
      </w:pPr>
      <w:r>
        <w:t xml:space="preserve">At SPG’s August 7 closing price of</w:t>
      </w:r>
      <w:r>
        <w:t xml:space="preserve"> </w:t>
      </w:r>
      <w:r>
        <w:rPr>
          <w:b/>
          <w:bCs/>
        </w:rPr>
        <w:t xml:space="preserve">$222.95</w:t>
      </w:r>
      <w:r>
        <w:t xml:space="preserve">, the annualized dividend is about a</w:t>
      </w:r>
      <w:r>
        <w:t xml:space="preserve"> </w:t>
      </w:r>
      <w:r>
        <w:rPr>
          <w:b/>
          <w:bCs/>
        </w:rPr>
        <w:t xml:space="preserve">4.0% yield</w:t>
      </w:r>
      <w:r>
        <w:t xml:space="preserve">, and the stock trades at roughly</w:t>
      </w:r>
      <w:r>
        <w:t xml:space="preserve"> </w:t>
      </w:r>
      <w:r>
        <w:rPr>
          <w:b/>
          <w:bCs/>
        </w:rPr>
        <w:t xml:space="preserve">16.9x</w:t>
      </w:r>
      <w:r>
        <w:t xml:space="preserve"> </w:t>
      </w:r>
      <w:r>
        <w:t xml:space="preserve">the midpoint of 2026 Real Estate FFO guidance. The dividend appears well supported: annualized at $9.00 per share, it represents about 68% of the annualized guidance-midpoint run rate.</w:t>
      </w:r>
    </w:p>
    <w:p>
      <w:pPr>
        <w:pStyle w:val="BodyText"/>
      </w:pPr>
      <w:r>
        <w:t xml:space="preserve">Potentially constructive 2Q outcomes would include continued buybacks, another dividend increase, incremental asset monetizations, or a clearer path to monetizing non-core “other platform” investments. Conversely, unexpected capital needs at those investments would be a source of concern.</w:t>
      </w:r>
    </w:p>
    <w:bookmarkEnd w:id="14"/>
    <w:bookmarkStart w:id="15" w:name="expectations-framework"/>
    <w:p>
      <w:pPr>
        <w:pStyle w:val="Heading2"/>
      </w:pPr>
      <w:r>
        <w:t xml:space="preserve">Expectations framework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2Q25 actual</w:t>
            </w:r>
          </w:p>
        </w:tc>
        <w:tc>
          <w:tcPr/>
          <w:p>
            <w:pPr>
              <w:pStyle w:val="Compact"/>
            </w:pPr>
            <w:r>
              <w:t xml:space="preserve">What to watch in 2Q26</w:t>
            </w:r>
          </w:p>
        </w:tc>
      </w:tr>
      <w:tr>
        <w:tc>
          <w:tcPr/>
          <w:p>
            <w:pPr>
              <w:pStyle w:val="Compact"/>
            </w:pPr>
            <w:r>
              <w:t xml:space="preserve">Real Estate FFO/share</w:t>
            </w:r>
          </w:p>
        </w:tc>
        <w:tc>
          <w:tcPr/>
          <w:p>
            <w:pPr>
              <w:pStyle w:val="Compact"/>
              <w:jc w:val="right"/>
            </w:pPr>
            <w:r>
              <w:rPr>
                <w:b/>
                <w:bCs/>
              </w:rPr>
              <w:t xml:space="preserve">$3.05</w:t>
            </w:r>
          </w:p>
        </w:tc>
        <w:tc>
          <w:tcPr/>
          <w:p>
            <w:pPr>
              <w:pStyle w:val="Compact"/>
            </w:pPr>
            <w:r>
              <w:t xml:space="preserve">Whether growth remains solid after a $3.17 1Q26 result</w:t>
            </w:r>
          </w:p>
        </w:tc>
      </w:tr>
      <w:tr>
        <w:tc>
          <w:tcPr/>
          <w:p>
            <w:pPr>
              <w:pStyle w:val="Compact"/>
            </w:pPr>
            <w:r>
              <w:t xml:space="preserve">Domestic property NOI growth</w:t>
            </w:r>
          </w:p>
        </w:tc>
        <w:tc>
          <w:tcPr/>
          <w:p>
            <w:pPr>
              <w:pStyle w:val="Compact"/>
              <w:jc w:val="right"/>
            </w:pPr>
            <w:r>
              <w:rPr>
                <w:b/>
                <w:bCs/>
              </w:rPr>
              <w:t xml:space="preserve">4.2%</w:t>
            </w:r>
          </w:p>
        </w:tc>
        <w:tc>
          <w:tcPr/>
          <w:p>
            <w:pPr>
              <w:pStyle w:val="Compact"/>
            </w:pPr>
            <w:r>
              <w:t xml:space="preserve">Underlying growth excluding Taubman ownership-step-up benefit</w:t>
            </w:r>
          </w:p>
        </w:tc>
      </w:tr>
      <w:tr>
        <w:tc>
          <w:tcPr/>
          <w:p>
            <w:pPr>
              <w:pStyle w:val="Compact"/>
            </w:pPr>
            <w:r>
              <w:t xml:space="preserve">Mall &amp; Premium Outlet occupancy</w:t>
            </w:r>
          </w:p>
        </w:tc>
        <w:tc>
          <w:tcPr/>
          <w:p>
            <w:pPr>
              <w:pStyle w:val="Compact"/>
              <w:jc w:val="right"/>
            </w:pPr>
            <w:r>
              <w:rPr>
                <w:b/>
                <w:bCs/>
              </w:rPr>
              <w:t xml:space="preserve">96.0%</w:t>
            </w:r>
          </w:p>
        </w:tc>
        <w:tc>
          <w:tcPr/>
          <w:p>
            <w:pPr>
              <w:pStyle w:val="Compact"/>
            </w:pPr>
            <w:r>
              <w:t xml:space="preserve">Tenant-quality/rent tradeoff more than a small occupancy change</w:t>
            </w:r>
          </w:p>
        </w:tc>
      </w:tr>
      <w:tr>
        <w:tc>
          <w:tcPr/>
          <w:p>
            <w:pPr>
              <w:pStyle w:val="Compact"/>
            </w:pPr>
            <w:r>
              <w:t xml:space="preserve">Base minimum rent PSF</w:t>
            </w:r>
          </w:p>
        </w:tc>
        <w:tc>
          <w:tcPr/>
          <w:p>
            <w:pPr>
              <w:pStyle w:val="Compact"/>
              <w:jc w:val="right"/>
            </w:pPr>
            <w:r>
              <w:rPr>
                <w:b/>
                <w:bCs/>
              </w:rPr>
              <w:t xml:space="preserve">$58.70</w:t>
            </w:r>
          </w:p>
        </w:tc>
        <w:tc>
          <w:tcPr/>
          <w:p>
            <w:pPr>
              <w:pStyle w:val="Compact"/>
            </w:pPr>
            <w:r>
              <w:t xml:space="preserve">Continued high-single-digit or mid-single-digit rent growth</w:t>
            </w:r>
          </w:p>
        </w:tc>
      </w:tr>
      <w:tr>
        <w:tc>
          <w:tcPr/>
          <w:p>
            <w:pPr>
              <w:pStyle w:val="Compact"/>
            </w:pPr>
            <w:r>
              <w:t xml:space="preserve">Retail sales PSF</w:t>
            </w:r>
          </w:p>
        </w:tc>
        <w:tc>
          <w:tcPr/>
          <w:p>
            <w:pPr>
              <w:pStyle w:val="Compact"/>
              <w:jc w:val="right"/>
            </w:pPr>
            <w:r>
              <w:rPr>
                <w:b/>
                <w:bCs/>
              </w:rPr>
              <w:t xml:space="preserve">$736</w:t>
            </w:r>
          </w:p>
        </w:tc>
        <w:tc>
          <w:tcPr/>
          <w:p>
            <w:pPr>
              <w:pStyle w:val="Compact"/>
            </w:pPr>
            <w:r>
              <w:t xml:space="preserve">Sustainability of sales gains; tourist-market and restaurant trends</w:t>
            </w:r>
          </w:p>
        </w:tc>
      </w:tr>
      <w:tr>
        <w:tc>
          <w:tcPr/>
          <w:p>
            <w:pPr>
              <w:pStyle w:val="Compact"/>
            </w:pPr>
            <w:r>
              <w:t xml:space="preserve">Quarterly dividend</w:t>
            </w:r>
          </w:p>
        </w:tc>
        <w:tc>
          <w:tcPr/>
          <w:p>
            <w:pPr>
              <w:pStyle w:val="Compact"/>
              <w:jc w:val="right"/>
            </w:pPr>
            <w:r>
              <w:rPr>
                <w:b/>
                <w:bCs/>
              </w:rPr>
              <w:t xml:space="preserve">$2.15</w:t>
            </w:r>
          </w:p>
        </w:tc>
        <w:tc>
          <w:tcPr/>
          <w:p>
            <w:pPr>
              <w:pStyle w:val="Compact"/>
            </w:pPr>
            <w:r>
              <w:t xml:space="preserve">Capital-return posture after May’s increase to $2.25</w:t>
            </w:r>
          </w:p>
        </w:tc>
      </w:tr>
    </w:tbl>
    <w:bookmarkEnd w:id="15"/>
    <w:bookmarkStart w:id="18" w:name="stock-setup-and-riskreward"/>
    <w:p>
      <w:pPr>
        <w:pStyle w:val="Heading2"/>
      </w:pPr>
      <w:r>
        <w:t xml:space="preserve">Stock setup and risk/reward</w:t>
      </w:r>
    </w:p>
    <w:p>
      <w:pPr>
        <w:pStyle w:val="FirstParagraph"/>
      </w:pPr>
      <w:r>
        <w:t xml:space="preserve">SPG closed at</w:t>
      </w:r>
      <w:r>
        <w:t xml:space="preserve"> </w:t>
      </w:r>
      <w:r>
        <w:rPr>
          <w:b/>
          <w:bCs/>
        </w:rPr>
        <w:t xml:space="preserve">$222.95 on August 7</w:t>
      </w:r>
      <w:r>
        <w:t xml:space="preserve">, up approximately</w:t>
      </w:r>
      <w:r>
        <w:t xml:space="preserve"> </w:t>
      </w:r>
      <w:r>
        <w:rPr>
          <w:b/>
          <w:bCs/>
        </w:rPr>
        <w:t xml:space="preserve">21.2% year to date</w:t>
      </w:r>
      <w:r>
        <w:t xml:space="preserve"> </w:t>
      </w:r>
      <w:r>
        <w:t xml:space="preserve">and</w:t>
      </w:r>
      <w:r>
        <w:t xml:space="preserve"> </w:t>
      </w:r>
      <w:r>
        <w:rPr>
          <w:b/>
          <w:bCs/>
        </w:rPr>
        <w:t xml:space="preserve">10.3% since May 8</w:t>
      </w:r>
      <w:r>
        <w:t xml:space="preserve">, the last trading day before 1Q earnings. That performance suggests the market already recognizes the improved operating backdrop. As a result, a simple FFO beat may not be sufficient; investors likely need to see one or more of the following:</w:t>
      </w:r>
    </w:p>
    <w:p>
      <w:pPr>
        <w:pStyle w:val="Compact"/>
        <w:numPr>
          <w:ilvl w:val="0"/>
          <w:numId w:val="1005"/>
        </w:numPr>
      </w:pPr>
      <w:r>
        <w:rPr>
          <w:b/>
          <w:bCs/>
        </w:rPr>
        <w:t xml:space="preserve">A guidance raise</w:t>
      </w:r>
      <w:r>
        <w:t xml:space="preserve">, or strong confidence that current guidance is conservative;</w:t>
      </w:r>
    </w:p>
    <w:p>
      <w:pPr>
        <w:pStyle w:val="Compact"/>
        <w:numPr>
          <w:ilvl w:val="0"/>
          <w:numId w:val="1005"/>
        </w:numPr>
      </w:pPr>
      <w:r>
        <w:rPr>
          <w:b/>
          <w:bCs/>
        </w:rPr>
        <w:t xml:space="preserve">Sustained 4%+ underlying NOI growth</w:t>
      </w:r>
      <w:r>
        <w:t xml:space="preserve"> </w:t>
      </w:r>
      <w:r>
        <w:t xml:space="preserve">after isolating Taubman-related effects;</w:t>
      </w:r>
    </w:p>
    <w:p>
      <w:pPr>
        <w:pStyle w:val="Compact"/>
        <w:numPr>
          <w:ilvl w:val="0"/>
          <w:numId w:val="1005"/>
        </w:numPr>
      </w:pPr>
      <w:r>
        <w:rPr>
          <w:b/>
          <w:bCs/>
        </w:rPr>
        <w:t xml:space="preserve">Durable retailer-sales and leasing momentum</w:t>
      </w:r>
      <w:r>
        <w:t xml:space="preserve">, particularly beyond luxury;</w:t>
      </w:r>
    </w:p>
    <w:p>
      <w:pPr>
        <w:pStyle w:val="Compact"/>
        <w:numPr>
          <w:ilvl w:val="0"/>
          <w:numId w:val="1005"/>
        </w:numPr>
      </w:pPr>
      <w:r>
        <w:rPr>
          <w:b/>
          <w:bCs/>
        </w:rPr>
        <w:t xml:space="preserve">Contained refinancing headwinds</w:t>
      </w:r>
      <w:r>
        <w:t xml:space="preserve">; and</w:t>
      </w:r>
    </w:p>
    <w:p>
      <w:pPr>
        <w:pStyle w:val="Compact"/>
        <w:numPr>
          <w:ilvl w:val="0"/>
          <w:numId w:val="1005"/>
        </w:numPr>
      </w:pPr>
      <w:r>
        <w:rPr>
          <w:b/>
          <w:bCs/>
        </w:rPr>
        <w:t xml:space="preserve">Credible redevelopment execution</w:t>
      </w:r>
      <w:r>
        <w:t xml:space="preserve"> </w:t>
      </w:r>
      <w:r>
        <w:t xml:space="preserve">without a material rise in capital intensity.</w:t>
      </w:r>
    </w:p>
    <w:bookmarkStart w:id="16" w:name="bull-case"/>
    <w:p>
      <w:pPr>
        <w:pStyle w:val="Heading3"/>
      </w:pPr>
      <w:r>
        <w:t xml:space="preserve">Bull case</w:t>
      </w:r>
    </w:p>
    <w:p>
      <w:pPr>
        <w:pStyle w:val="Compact"/>
        <w:numPr>
          <w:ilvl w:val="0"/>
          <w:numId w:val="1006"/>
        </w:numPr>
      </w:pPr>
      <w:r>
        <w:t xml:space="preserve">Retail sales, traffic, and tenant demand remain broad-based.</w:t>
      </w:r>
    </w:p>
    <w:p>
      <w:pPr>
        <w:pStyle w:val="Compact"/>
        <w:numPr>
          <w:ilvl w:val="0"/>
          <w:numId w:val="1006"/>
        </w:numPr>
      </w:pPr>
      <w:r>
        <w:t xml:space="preserve">Leasing spreads and new-tenant rents sustain NOI growth above the company’s 3% baseline.</w:t>
      </w:r>
    </w:p>
    <w:p>
      <w:pPr>
        <w:pStyle w:val="Compact"/>
        <w:numPr>
          <w:ilvl w:val="0"/>
          <w:numId w:val="1006"/>
        </w:numPr>
      </w:pPr>
      <w:r>
        <w:t xml:space="preserve">The Taubman integration creates additional revenue, expense, and redevelopment upside.</w:t>
      </w:r>
    </w:p>
    <w:p>
      <w:pPr>
        <w:pStyle w:val="Compact"/>
        <w:numPr>
          <w:ilvl w:val="0"/>
          <w:numId w:val="1006"/>
        </w:numPr>
      </w:pPr>
      <w:r>
        <w:t xml:space="preserve">The development pipeline produces attractive 9% targeted returns and offers a visible multi-year FFO growth avenue.</w:t>
      </w:r>
    </w:p>
    <w:p>
      <w:pPr>
        <w:pStyle w:val="Compact"/>
        <w:numPr>
          <w:ilvl w:val="0"/>
          <w:numId w:val="1006"/>
        </w:numPr>
      </w:pPr>
      <w:r>
        <w:t xml:space="preserve">Strong liquidity and cash generation support dividends and buybacks despite higher financing costs.</w:t>
      </w:r>
    </w:p>
    <w:bookmarkEnd w:id="16"/>
    <w:bookmarkStart w:id="17" w:name="bear-case"/>
    <w:p>
      <w:pPr>
        <w:pStyle w:val="Heading3"/>
      </w:pPr>
      <w:r>
        <w:t xml:space="preserve">Bear case</w:t>
      </w:r>
    </w:p>
    <w:p>
      <w:pPr>
        <w:pStyle w:val="Compact"/>
        <w:numPr>
          <w:ilvl w:val="0"/>
          <w:numId w:val="1007"/>
        </w:numPr>
      </w:pPr>
      <w:r>
        <w:t xml:space="preserve">Consumer spending weakens, especially in tourism-exposed outlets, restaurants, and more price-sensitive categories.</w:t>
      </w:r>
    </w:p>
    <w:p>
      <w:pPr>
        <w:pStyle w:val="Compact"/>
        <w:numPr>
          <w:ilvl w:val="0"/>
          <w:numId w:val="1007"/>
        </w:numPr>
      </w:pPr>
      <w:r>
        <w:t xml:space="preserve">Reported NOI decelerates materially once the Taubman ownership effect rolls off.</w:t>
      </w:r>
    </w:p>
    <w:p>
      <w:pPr>
        <w:pStyle w:val="Compact"/>
        <w:numPr>
          <w:ilvl w:val="0"/>
          <w:numId w:val="1007"/>
        </w:numPr>
      </w:pPr>
      <w:r>
        <w:t xml:space="preserve">Refinancing costs remain a persistent drag, limiting FFO growth despite solid property performance.</w:t>
      </w:r>
    </w:p>
    <w:p>
      <w:pPr>
        <w:pStyle w:val="Compact"/>
        <w:numPr>
          <w:ilvl w:val="0"/>
          <w:numId w:val="1007"/>
        </w:numPr>
      </w:pPr>
      <w:r>
        <w:t xml:space="preserve">Development spending rises faster than expected or projects face cost/timing pressure.</w:t>
      </w:r>
    </w:p>
    <w:p>
      <w:pPr>
        <w:pStyle w:val="Compact"/>
        <w:numPr>
          <w:ilvl w:val="0"/>
          <w:numId w:val="1007"/>
        </w:numPr>
      </w:pPr>
      <w:r>
        <w:t xml:space="preserve">Other platform investments again create volatility between reported FFO and the company’s preferred Real Estate FFO metric.</w:t>
      </w:r>
    </w:p>
    <w:bookmarkEnd w:id="17"/>
    <w:bookmarkEnd w:id="18"/>
    <w:bookmarkStart w:id="19" w:name="bottom-line"/>
    <w:p>
      <w:pPr>
        <w:pStyle w:val="Heading2"/>
      </w:pPr>
      <w:r>
        <w:t xml:space="preserve">Bottom line</w:t>
      </w:r>
    </w:p>
    <w:p>
      <w:pPr>
        <w:pStyle w:val="FirstParagraph"/>
      </w:pPr>
      <w:r>
        <w:rPr>
          <w:b/>
          <w:bCs/>
        </w:rPr>
        <w:t xml:space="preserve">The 2Q print is primarily a durability test, not a turnaround story.</w:t>
      </w:r>
      <w:r>
        <w:t xml:space="preserve"> </w:t>
      </w:r>
      <w:r>
        <w:t xml:space="preserve">Simon’s 1Q results showed strong leasing, high occupancy, accelerating retailer sales, and material cash-flow capacity. Going into August 10, the central debate is whether those fundamentals can continue to offset higher interest costs and justify another increase to 2026 guidance.</w:t>
      </w:r>
    </w:p>
    <w:p>
      <w:pPr>
        <w:pStyle w:val="BodyText"/>
      </w:pPr>
      <w:r>
        <w:t xml:space="preserve">For investors, the highest-value disclosures will be</w:t>
      </w:r>
      <w:r>
        <w:t xml:space="preserve"> </w:t>
      </w:r>
      <w:r>
        <w:rPr>
          <w:b/>
          <w:bCs/>
        </w:rPr>
        <w:t xml:space="preserve">underlying NOI growth, leasing and retailer-sales trends, revised interest-expense outlook, redevelopment milestones, and the company’s willingness to raise its</w:t>
      </w:r>
      <w:r>
        <w:rPr>
          <w:b/>
          <w:bCs/>
        </w:rPr>
        <w:t xml:space="preserve"> </w:t>
      </w:r>
      <m:oMath>
        <m:r>
          <m:t>13.10</m:t>
        </m:r>
        <m:r>
          <m:rPr>
            <m:sty m:val="p"/>
          </m:rPr>
          <m:t>–</m:t>
        </m:r>
      </m:oMath>
      <w:r>
        <w:rPr>
          <w:b/>
          <w:bCs/>
        </w:rPr>
        <w:t xml:space="preserve">13.25 Real Estate FFO guidance range.</w:t>
      </w:r>
    </w:p>
    <w:p>
      <w:pPr>
        <w:pStyle w:val="BodyText"/>
      </w:pPr>
      <w:r>
        <w:rPr>
          <w:i/>
          <w:iCs/>
        </w:rPr>
        <w:t xml:space="preserve">Sources: Simon Property Group 1Q26 earnings release and supplemental information; 1Q26 earnings-call transcript; 2Q25 earnings release and supplemental information; Simon’s July 1, 2026 earnings-date announcement; historical SPG closing-price data through August 7, 2026.</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2026-08-10T00:02:32Z</dcterms:created>
  <dcterms:modified xsi:type="dcterms:W3CDTF">2026-08-10T00:02:32Z</dcterms:modified>
</cp:coreProperties>
</file>

<file path=docProps/custom.xml><?xml version="1.0" encoding="utf-8"?>
<Properties xmlns="http://schemas.openxmlformats.org/officeDocument/2006/custom-properties" xmlns:vt="http://schemas.openxmlformats.org/officeDocument/2006/docPropsVTypes"/>
</file>