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Simon Property Group (SPG)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Simon Property Group, Inc.</w:t>
            </w:r>
          </w:p>
        </w:tc>
      </w:tr>
      <w:tr>
        <w:tc>
          <w:tcPr>
            <w:tcW w:type="dxa" w:w="4320"/>
          </w:tcPr>
          <w:p>
            <w:r>
              <w:rPr>
                <w:rFonts w:ascii="Calibri" w:hAnsi="Calibri"/>
                <w:b/>
                <w:sz w:val="22"/>
              </w:rPr>
              <w:t>Ticker</w:t>
            </w:r>
          </w:p>
        </w:tc>
        <w:tc>
          <w:tcPr>
            <w:tcW w:type="dxa" w:w="4320"/>
          </w:tcPr>
          <w:p>
            <w:r>
              <w:rPr>
                <w:rFonts w:ascii="Calibri" w:hAnsi="Calibri"/>
                <w:sz w:val="22"/>
              </w:rPr>
              <w:t>SPG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Mid-August 2026 (TBC)</w:t>
            </w:r>
          </w:p>
        </w:tc>
      </w:tr>
      <w:tr>
        <w:tc>
          <w:tcPr>
            <w:tcW w:type="dxa" w:w="4320"/>
          </w:tcPr>
          <w:p>
            <w:r>
              <w:rPr>
                <w:rFonts w:ascii="Calibri" w:hAnsi="Calibri"/>
                <w:b/>
                <w:sz w:val="22"/>
              </w:rPr>
              <w:t>Last Earnings Date</w:t>
            </w:r>
          </w:p>
        </w:tc>
        <w:tc>
          <w:tcPr>
            <w:tcW w:type="dxa" w:w="4320"/>
          </w:tcPr>
          <w:p>
            <w:r>
              <w:rPr>
                <w:rFonts w:ascii="Calibri" w:hAnsi="Calibri"/>
                <w:sz w:val="22"/>
              </w:rPr>
              <w:t>May 11, 2026 (Q1 2026)</w:t>
            </w:r>
          </w:p>
        </w:tc>
      </w:tr>
      <w:tr>
        <w:tc>
          <w:tcPr>
            <w:tcW w:type="dxa" w:w="4320"/>
          </w:tcPr>
          <w:p>
            <w:r>
              <w:rPr>
                <w:rFonts w:ascii="Calibri" w:hAnsi="Calibri"/>
                <w:b/>
                <w:sz w:val="22"/>
              </w:rPr>
              <w:t>Prepared Date</w:t>
            </w:r>
          </w:p>
        </w:tc>
        <w:tc>
          <w:tcPr>
            <w:tcW w:type="dxa" w:w="4320"/>
          </w:tcPr>
          <w:p>
            <w:r>
              <w:rPr>
                <w:rFonts w:ascii="Calibri" w:hAnsi="Calibri"/>
                <w:sz w:val="22"/>
              </w:rPr>
              <w:t>August 10, 2026</w:t>
            </w:r>
          </w:p>
        </w:tc>
      </w:tr>
      <w:tr>
        <w:tc>
          <w:tcPr>
            <w:tcW w:type="dxa" w:w="4320"/>
          </w:tcPr>
          <w:p>
            <w:r>
              <w:rPr>
                <w:rFonts w:ascii="Calibri" w:hAnsi="Calibri"/>
                <w:b/>
                <w:sz w:val="22"/>
              </w:rPr>
              <w:t>Primary Valuation Metric</w:t>
            </w:r>
          </w:p>
        </w:tc>
        <w:tc>
          <w:tcPr>
            <w:tcW w:type="dxa" w:w="4320"/>
          </w:tcPr>
          <w:p>
            <w:r>
              <w:rPr>
                <w:rFonts w:ascii="Calibri" w:hAnsi="Calibri"/>
                <w:sz w:val="22"/>
              </w:rPr>
              <w:t>Real Estate FFO per Share (Price/FFO)</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SPG’s Q2 2026 print is constructive — consensus Real Estate FFO of $3.23/share sits modestly above the Q1 2026 run-rate, the bar is not stretched, and the biggest swing factor is whether domestic NOI growth sustains its well-above-guidance pace amid a still-robust leasing pipeline.</w:t>
      </w:r>
    </w:p>
    <w:p>
      <w:r>
        <w:rPr>
          <w:rFonts w:ascii="Calibri" w:hAnsi="Calibri"/>
          <w:color w:val="525866"/>
          <w:sz w:val="22"/>
        </w:rPr>
        <w:t xml:space="preserve">Heading into Q2 2026, the bar for SPG looks achievable: consensus Real Estate FFO of ~$3.23/share implies roughly 5.5% year-over-year growth, consistent with the raised full-year guidance midpoint of $13.175/share set at Q1 earnings. </w:t>
      </w:r>
      <w:r>
        <w:rPr>
          <w:rFonts w:ascii="Calibri" w:hAnsi="Calibri"/>
          <w:b/>
          <w:color w:val="525866"/>
          <w:sz w:val="22"/>
        </w:rPr>
        <w:t>Management’s tone at the Q1 call was notably confident</w:t>
      </w:r>
      <w:r>
        <w:rPr>
          <w:rFonts w:ascii="Calibri" w:hAnsi="Calibri"/>
          <w:color w:val="525866"/>
          <w:sz w:val="22"/>
        </w:rPr>
        <w:t xml:space="preserve"> — the guidance raise came despite acknowledged interest expense headwinds, the leasing pipeline was described as “significantly larger than this time last year,” and retailers are proactively locking in 2027–2029 expirations, a behavior historically limited to luxury tenants. Estimate revisions have been stable-to-slightly-positive since the Q1 print, with the FY2026 consensus edging up to $13.27/share versus the $13.18 midpoint of guidance, suggesting the Street is already pricing in modest outperformance. The stock has rallied ~11% since the Q1 earnings date versus +4.6% for the S&amp;P 500 and +1.8% for IYR, meaning some beat is already in the price and the multiple leaves limited room for disappointment. The key wildcard is </w:t>
      </w:r>
    </w:p>
    <w:p>
      <w:r>
        <w:rPr>
          <w:rFonts w:ascii="Calibri" w:hAnsi="Calibri"/>
          <w:color w:val="525866"/>
          <w:sz w:val="22"/>
        </w:rPr>
        <w:t xml:space="preserve">The key wildcard is </w:t>
      </w:r>
      <w:r>
        <w:rPr>
          <w:rFonts w:ascii="Calibri" w:hAnsi="Calibri"/>
          <w:b/>
          <w:color w:val="525866"/>
          <w:sz w:val="22"/>
        </w:rPr>
        <w:t>tourist-market softness at Premium Outlets</w:t>
      </w:r>
      <w:r>
        <w:rPr>
          <w:rFonts w:ascii="Calibri" w:hAnsi="Calibri"/>
          <w:color w:val="525866"/>
          <w:sz w:val="22"/>
        </w:rPr>
        <w:t xml:space="preserve"> (Woodbury comp was only 2.5% vs. 6.6% portfolio-wide in Q1) and any incremental tenant credit noise from Saks Global or Eddie Bauer re-leasing — either could weigh on same-store NOI and create a headline miss even if underlying leasing momentum remains intact.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achievable bar — Real Estate FFO of $3.23/share implies ~5.5% YoY growth in line with raised guidance, while same-store NOI growth of ~5.1% is the bigger swing factor given SPG’s consistent history of outperforming its “at least 3%” domestic NOI guidance.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Real Estate FFO per Share ($)</w:t>
            </w:r>
          </w:p>
        </w:tc>
        <w:tc>
          <w:tcPr>
            <w:tcW w:type="dxa" w:w="1234"/>
          </w:tcPr>
          <w:p>
            <w:r>
              <w:rPr>
                <w:rFonts w:ascii="Calibri" w:hAnsi="Calibri"/>
                <w:sz w:val="22"/>
              </w:rPr>
              <w:t>$3.17</w:t>
            </w:r>
          </w:p>
        </w:tc>
        <w:tc>
          <w:tcPr>
            <w:tcW w:type="dxa" w:w="1234"/>
          </w:tcPr>
          <w:p>
            <w:r>
              <w:rPr>
                <w:rFonts w:ascii="Calibri" w:hAnsi="Calibri"/>
                <w:sz w:val="22"/>
              </w:rPr>
              <w:t>$3.06</w:t>
            </w:r>
          </w:p>
        </w:tc>
        <w:tc>
          <w:tcPr>
            <w:tcW w:type="dxa" w:w="1234"/>
          </w:tcPr>
          <w:p>
            <w:r>
              <w:rPr>
                <w:rFonts w:ascii="Calibri" w:hAnsi="Calibri"/>
                <w:sz w:val="22"/>
              </w:rPr>
              <w:t>$3.23</w:t>
            </w:r>
          </w:p>
        </w:tc>
        <w:tc>
          <w:tcPr>
            <w:tcW w:type="dxa" w:w="1234"/>
          </w:tcPr>
          <w:p>
            <w:r>
              <w:rPr>
                <w:rFonts w:ascii="Calibri" w:hAnsi="Calibri"/>
                <w:sz w:val="22"/>
              </w:rPr>
              <w:t>+5.5%</w:t>
            </w:r>
          </w:p>
        </w:tc>
        <w:tc>
          <w:tcPr>
            <w:tcW w:type="dxa" w:w="1234"/>
          </w:tcPr>
          <w:p>
            <w:r>
              <w:rPr>
                <w:rFonts w:ascii="Calibri" w:hAnsi="Calibri"/>
                <w:sz w:val="22"/>
              </w:rPr>
              <w:t>$13.10–$13.25 (FY)</w:t>
            </w:r>
          </w:p>
        </w:tc>
        <w:tc>
          <w:tcPr>
            <w:tcW w:type="dxa" w:w="1234"/>
          </w:tcPr>
          <w:p>
            <w:r>
              <w:rPr>
                <w:rFonts w:ascii="Calibri" w:hAnsi="Calibri"/>
                <w:sz w:val="22"/>
              </w:rPr>
              <w:t>+0.8% above midpoint</w:t>
            </w:r>
          </w:p>
        </w:tc>
      </w:tr>
      <w:tr>
        <w:tc>
          <w:tcPr>
            <w:tcW w:type="dxa" w:w="1234"/>
          </w:tcPr>
          <w:p>
            <w:r>
              <w:rPr>
                <w:rFonts w:ascii="Calibri" w:hAnsi="Calibri"/>
                <w:sz w:val="22"/>
              </w:rPr>
              <w:t>Real Estate FFO ($M)</w:t>
            </w:r>
          </w:p>
        </w:tc>
        <w:tc>
          <w:tcPr>
            <w:tcW w:type="dxa" w:w="1234"/>
          </w:tcPr>
          <w:p>
            <w:r>
              <w:rPr>
                <w:rFonts w:ascii="Calibri" w:hAnsi="Calibri"/>
                <w:sz w:val="22"/>
              </w:rPr>
              <w:t>$1,208</w:t>
            </w:r>
          </w:p>
        </w:tc>
        <w:tc>
          <w:tcPr>
            <w:tcW w:type="dxa" w:w="1234"/>
          </w:tcPr>
          <w:p>
            <w:r>
              <w:rPr>
                <w:rFonts w:ascii="Calibri" w:hAnsi="Calibri"/>
                <w:sz w:val="22"/>
              </w:rPr>
              <w:t>$1,154</w:t>
            </w:r>
          </w:p>
        </w:tc>
        <w:tc>
          <w:tcPr>
            <w:tcW w:type="dxa" w:w="1234"/>
          </w:tcPr>
          <w:p>
            <w:r>
              <w:rPr>
                <w:rFonts w:ascii="Calibri" w:hAnsi="Calibri"/>
                <w:sz w:val="22"/>
              </w:rPr>
              <w:t>$1,227</w:t>
            </w:r>
          </w:p>
        </w:tc>
        <w:tc>
          <w:tcPr>
            <w:tcW w:type="dxa" w:w="1234"/>
          </w:tcPr>
          <w:p>
            <w:r>
              <w:rPr>
                <w:rFonts w:ascii="Calibri" w:hAnsi="Calibri"/>
                <w:sz w:val="22"/>
              </w:rPr>
              <w:t>+6.3%</w:t>
            </w:r>
          </w:p>
        </w:tc>
        <w:tc>
          <w:tcPr>
            <w:tcW w:type="dxa" w:w="1234"/>
          </w:tcPr>
          <w:p>
            <w:r>
              <w:rPr>
                <w:rFonts w:ascii="Calibri" w:hAnsi="Calibri"/>
                <w:sz w:val="22"/>
              </w:rPr>
              <w:t>N/A (quarterly not guided)</w:t>
            </w:r>
          </w:p>
        </w:tc>
        <w:tc>
          <w:tcPr>
            <w:tcW w:type="dxa" w:w="1234"/>
          </w:tcPr>
          <w:p>
            <w:r>
              <w:rPr>
                <w:rFonts w:ascii="Calibri" w:hAnsi="Calibri"/>
                <w:sz w:val="22"/>
              </w:rPr>
              <w:t>N/A</w:t>
            </w:r>
          </w:p>
        </w:tc>
      </w:tr>
      <w:tr>
        <w:tc>
          <w:tcPr>
            <w:tcW w:type="dxa" w:w="1234"/>
          </w:tcPr>
          <w:p>
            <w:r>
              <w:rPr>
                <w:rFonts w:ascii="Calibri" w:hAnsi="Calibri"/>
                <w:sz w:val="22"/>
              </w:rPr>
              <w:t>Same-Store NOI Growth YoY (%)</w:t>
            </w:r>
          </w:p>
        </w:tc>
        <w:tc>
          <w:tcPr>
            <w:tcW w:type="dxa" w:w="1234"/>
          </w:tcPr>
          <w:p>
            <w:r>
              <w:rPr>
                <w:rFonts w:ascii="Calibri" w:hAnsi="Calibri"/>
                <w:sz w:val="22"/>
              </w:rPr>
              <w:t>6.7%</w:t>
            </w:r>
          </w:p>
        </w:tc>
        <w:tc>
          <w:tcPr>
            <w:tcW w:type="dxa" w:w="1234"/>
          </w:tcPr>
          <w:p>
            <w:r>
              <w:rPr>
                <w:rFonts w:ascii="Calibri" w:hAnsi="Calibri"/>
                <w:sz w:val="22"/>
              </w:rPr>
              <w:t>4.7%</w:t>
            </w:r>
          </w:p>
        </w:tc>
        <w:tc>
          <w:tcPr>
            <w:tcW w:type="dxa" w:w="1234"/>
          </w:tcPr>
          <w:p>
            <w:r>
              <w:rPr>
                <w:rFonts w:ascii="Calibri" w:hAnsi="Calibri"/>
                <w:sz w:val="22"/>
              </w:rPr>
              <w:t>~5.1%</w:t>
            </w:r>
          </w:p>
        </w:tc>
        <w:tc>
          <w:tcPr>
            <w:tcW w:type="dxa" w:w="1234"/>
          </w:tcPr>
          <w:p>
            <w:r>
              <w:rPr>
                <w:rFonts w:ascii="Calibri" w:hAnsi="Calibri"/>
                <w:sz w:val="22"/>
              </w:rPr>
              <w:t>+40 bps vs. prior year</w:t>
            </w:r>
          </w:p>
        </w:tc>
        <w:tc>
          <w:tcPr>
            <w:tcW w:type="dxa" w:w="1234"/>
          </w:tcPr>
          <w:p>
            <w:r>
              <w:rPr>
                <w:rFonts w:ascii="Calibri" w:hAnsi="Calibri"/>
                <w:sz w:val="22"/>
              </w:rPr>
              <w:t>At least 3% (domestic NOI)</w:t>
            </w:r>
          </w:p>
        </w:tc>
        <w:tc>
          <w:tcPr>
            <w:tcW w:type="dxa" w:w="1234"/>
          </w:tcPr>
          <w:p>
            <w:r>
              <w:rPr>
                <w:rFonts w:ascii="Calibri" w:hAnsi="Calibri"/>
                <w:sz w:val="22"/>
              </w:rPr>
              <w:t>+210 bps above guidance floor</w:t>
            </w:r>
          </w:p>
        </w:tc>
      </w:tr>
      <w:tr>
        <w:tc>
          <w:tcPr>
            <w:tcW w:type="dxa" w:w="1234"/>
          </w:tcPr>
          <w:p>
            <w:r>
              <w:rPr>
                <w:rFonts w:ascii="Calibri" w:hAnsi="Calibri"/>
                <w:sz w:val="22"/>
              </w:rPr>
              <w:t>Occupancy — Malls &amp; Premium Outlets (%)</w:t>
            </w:r>
          </w:p>
        </w:tc>
        <w:tc>
          <w:tcPr>
            <w:tcW w:type="dxa" w:w="1234"/>
          </w:tcPr>
          <w:p>
            <w:r>
              <w:rPr>
                <w:rFonts w:ascii="Calibri" w:hAnsi="Calibri"/>
                <w:sz w:val="22"/>
              </w:rPr>
              <w:t>96.0%</w:t>
            </w:r>
          </w:p>
        </w:tc>
        <w:tc>
          <w:tcPr>
            <w:tcW w:type="dxa" w:w="1234"/>
          </w:tcPr>
          <w:p>
            <w:r>
              <w:rPr>
                <w:rFonts w:ascii="Calibri" w:hAnsi="Calibri"/>
                <w:sz w:val="22"/>
              </w:rPr>
              <w:t>96.0%</w:t>
            </w:r>
          </w:p>
        </w:tc>
        <w:tc>
          <w:tcPr>
            <w:tcW w:type="dxa" w:w="1234"/>
          </w:tcPr>
          <w:p>
            <w:r>
              <w:rPr>
                <w:rFonts w:ascii="Calibri" w:hAnsi="Calibri"/>
                <w:sz w:val="22"/>
              </w:rPr>
              <w:t>96.1%</w:t>
            </w:r>
          </w:p>
        </w:tc>
        <w:tc>
          <w:tcPr>
            <w:tcW w:type="dxa" w:w="1234"/>
          </w:tcPr>
          <w:p>
            <w:r>
              <w:rPr>
                <w:rFonts w:ascii="Calibri" w:hAnsi="Calibri"/>
                <w:sz w:val="22"/>
              </w:rPr>
              <w:t>Flat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Net Operating Income ($M)</w:t>
            </w:r>
          </w:p>
        </w:tc>
        <w:tc>
          <w:tcPr>
            <w:tcW w:type="dxa" w:w="1234"/>
          </w:tcPr>
          <w:p>
            <w:r>
              <w:rPr>
                <w:rFonts w:ascii="Calibri" w:hAnsi="Calibri"/>
                <w:sz w:val="22"/>
              </w:rPr>
              <w:t>$1,336</w:t>
            </w:r>
          </w:p>
        </w:tc>
        <w:tc>
          <w:tcPr>
            <w:tcW w:type="dxa" w:w="1234"/>
          </w:tcPr>
          <w:p>
            <w:r>
              <w:rPr>
                <w:rFonts w:ascii="Calibri" w:hAnsi="Calibri"/>
                <w:sz w:val="22"/>
              </w:rPr>
              <w:t>$1,153</w:t>
            </w:r>
          </w:p>
        </w:tc>
        <w:tc>
          <w:tcPr>
            <w:tcW w:type="dxa" w:w="1234"/>
          </w:tcPr>
          <w:p>
            <w:r>
              <w:rPr>
                <w:rFonts w:ascii="Calibri" w:hAnsi="Calibri"/>
                <w:sz w:val="22"/>
              </w:rPr>
              <w:t>$1,328</w:t>
            </w:r>
          </w:p>
        </w:tc>
        <w:tc>
          <w:tcPr>
            <w:tcW w:type="dxa" w:w="1234"/>
          </w:tcPr>
          <w:p>
            <w:r>
              <w:rPr>
                <w:rFonts w:ascii="Calibri" w:hAnsi="Calibri"/>
                <w:sz w:val="22"/>
              </w:rPr>
              <w:t>+15.2%</w:t>
            </w:r>
          </w:p>
        </w:tc>
        <w:tc>
          <w:tcPr>
            <w:tcW w:type="dxa" w:w="1234"/>
          </w:tcPr>
          <w:p>
            <w:r>
              <w:rPr>
                <w:rFonts w:ascii="Calibri" w:hAnsi="Calibri"/>
                <w:sz w:val="22"/>
              </w:rPr>
              <w:t>N/A (quarterly not guided)</w:t>
            </w:r>
          </w:p>
        </w:tc>
        <w:tc>
          <w:tcPr>
            <w:tcW w:type="dxa" w:w="1234"/>
          </w:tcPr>
          <w:p>
            <w:r>
              <w:rPr>
                <w:rFonts w:ascii="Calibri" w:hAnsi="Calibri"/>
                <w:sz w:val="22"/>
              </w:rPr>
              <w:t>N/A</w:t>
            </w:r>
          </w:p>
        </w:tc>
      </w:tr>
      <w:tr>
        <w:tc>
          <w:tcPr>
            <w:tcW w:type="dxa" w:w="1234"/>
          </w:tcPr>
          <w:p>
            <w:r>
              <w:rPr>
                <w:rFonts w:ascii="Calibri" w:hAnsi="Calibri"/>
                <w:sz w:val="22"/>
              </w:rPr>
              <w:t>Dividends per Share ($)</w:t>
            </w:r>
          </w:p>
        </w:tc>
        <w:tc>
          <w:tcPr>
            <w:tcW w:type="dxa" w:w="1234"/>
          </w:tcPr>
          <w:p>
            <w:r>
              <w:rPr>
                <w:rFonts w:ascii="Calibri" w:hAnsi="Calibri"/>
                <w:sz w:val="22"/>
              </w:rPr>
              <w:t>$2.20</w:t>
            </w:r>
          </w:p>
        </w:tc>
        <w:tc>
          <w:tcPr>
            <w:tcW w:type="dxa" w:w="1234"/>
          </w:tcPr>
          <w:p>
            <w:r>
              <w:rPr>
                <w:rFonts w:ascii="Calibri" w:hAnsi="Calibri"/>
                <w:sz w:val="22"/>
              </w:rPr>
              <w:t>$2.10</w:t>
            </w:r>
          </w:p>
        </w:tc>
        <w:tc>
          <w:tcPr>
            <w:tcW w:type="dxa" w:w="1234"/>
          </w:tcPr>
          <w:p>
            <w:r>
              <w:rPr>
                <w:rFonts w:ascii="Calibri" w:hAnsi="Calibri"/>
                <w:sz w:val="22"/>
              </w:rPr>
              <w:t>$2.25</w:t>
            </w:r>
          </w:p>
        </w:tc>
        <w:tc>
          <w:tcPr>
            <w:tcW w:type="dxa" w:w="1234"/>
          </w:tcPr>
          <w:p>
            <w:r>
              <w:rPr>
                <w:rFonts w:ascii="Calibri" w:hAnsi="Calibri"/>
                <w:sz w:val="22"/>
              </w:rPr>
              <w:t>+7.1% YoY</w:t>
            </w:r>
          </w:p>
        </w:tc>
        <w:tc>
          <w:tcPr>
            <w:tcW w:type="dxa" w:w="1234"/>
          </w:tcPr>
          <w:p>
            <w:r>
              <w:rPr>
                <w:rFonts w:ascii="Calibri" w:hAnsi="Calibri"/>
                <w:sz w:val="22"/>
              </w:rPr>
              <w:t>$2.25 declared (Q2)</w:t>
            </w:r>
          </w:p>
        </w:tc>
        <w:tc>
          <w:tcPr>
            <w:tcW w:type="dxa" w:w="1234"/>
          </w:tcPr>
          <w:p>
            <w:r>
              <w:rPr>
                <w:rFonts w:ascii="Calibri" w:hAnsi="Calibri"/>
                <w:sz w:val="22"/>
              </w:rPr>
              <w:t>In line with declared</w:t>
            </w:r>
          </w:p>
        </w:tc>
      </w:tr>
    </w:tbl>
    <w:p>
      <w:r>
        <w:rPr>
          <w:rFonts w:ascii="Calibri" w:hAnsi="Calibri"/>
          <w:i/>
          <w:color w:val="525866"/>
          <w:sz w:val="22"/>
        </w:rPr>
        <w:t>Source: Visible Alpha consensus and actuals. Same-store NOI growth consensus is the VA “Same-store NOI growth — YoY(%)” series. Real Estate FFO per share and total FFO from VA “Real Estate FFO per share($)” and “Real Estate FFO” series. Occupancy from VA “Occupancy(%)” series. NOI from VA “Net operating income (NOI)” series. Dividends from VA “Dividends per share($)” series; Q2 2026 dividend of $2.25 confirmed on Q1 2026 earnings call.</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 FFO/share</w:t>
            </w:r>
          </w:p>
        </w:tc>
        <w:tc>
          <w:tcPr>
            <w:tcW w:type="dxa" w:w="1440"/>
          </w:tcPr>
          <w:p>
            <w:r>
              <w:rPr>
                <w:rFonts w:ascii="Calibri" w:hAnsi="Calibri"/>
                <w:sz w:val="22"/>
              </w:rPr>
              <w:t>$3.17</w:t>
            </w:r>
          </w:p>
        </w:tc>
        <w:tc>
          <w:tcPr>
            <w:tcW w:type="dxa" w:w="1440"/>
          </w:tcPr>
          <w:p>
            <w:r>
              <w:rPr>
                <w:rFonts w:ascii="Calibri" w:hAnsi="Calibri"/>
                <w:sz w:val="22"/>
              </w:rPr>
              <w:t>$3.14</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SS NOI Growth</w:t>
            </w:r>
          </w:p>
        </w:tc>
        <w:tc>
          <w:tcPr>
            <w:tcW w:type="dxa" w:w="1440"/>
          </w:tcPr>
          <w:p>
            <w:r>
              <w:rPr>
                <w:rFonts w:ascii="Calibri" w:hAnsi="Calibri"/>
                <w:sz w:val="22"/>
              </w:rPr>
              <w:t>6.7%</w:t>
            </w:r>
          </w:p>
        </w:tc>
        <w:tc>
          <w:tcPr>
            <w:tcW w:type="dxa" w:w="1440"/>
          </w:tcPr>
          <w:p>
            <w:r>
              <w:rPr>
                <w:rFonts w:ascii="Calibri" w:hAnsi="Calibri"/>
                <w:sz w:val="22"/>
              </w:rPr>
              <w:t>2.4%</w:t>
            </w:r>
          </w:p>
        </w:tc>
        <w:tc>
          <w:tcPr>
            <w:tcW w:type="dxa" w:w="1440"/>
          </w:tcPr>
          <w:p>
            <w:r>
              <w:rPr>
                <w:rFonts w:ascii="Calibri" w:hAnsi="Calibri"/>
                <w:sz w:val="22"/>
              </w:rPr>
              <w:t>+430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 FFO/share</w:t>
            </w:r>
          </w:p>
        </w:tc>
        <w:tc>
          <w:tcPr>
            <w:tcW w:type="dxa" w:w="1440"/>
          </w:tcPr>
          <w:p>
            <w:r>
              <w:rPr>
                <w:rFonts w:ascii="Calibri" w:hAnsi="Calibri"/>
                <w:sz w:val="22"/>
              </w:rPr>
              <w:t>$3.49</w:t>
            </w:r>
          </w:p>
        </w:tc>
        <w:tc>
          <w:tcPr>
            <w:tcW w:type="dxa" w:w="1440"/>
          </w:tcPr>
          <w:p>
            <w:r>
              <w:rPr>
                <w:rFonts w:ascii="Calibri" w:hAnsi="Calibri"/>
                <w:sz w:val="22"/>
              </w:rPr>
              <w:t>$3.45</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SS NOI Growth</w:t>
            </w:r>
          </w:p>
        </w:tc>
        <w:tc>
          <w:tcPr>
            <w:tcW w:type="dxa" w:w="1440"/>
          </w:tcPr>
          <w:p>
            <w:r>
              <w:rPr>
                <w:rFonts w:ascii="Calibri" w:hAnsi="Calibri"/>
                <w:sz w:val="22"/>
              </w:rPr>
              <w:t>4.9%</w:t>
            </w:r>
          </w:p>
        </w:tc>
        <w:tc>
          <w:tcPr>
            <w:tcW w:type="dxa" w:w="1440"/>
          </w:tcPr>
          <w:p>
            <w:r>
              <w:rPr>
                <w:rFonts w:ascii="Calibri" w:hAnsi="Calibri"/>
                <w:sz w:val="22"/>
              </w:rPr>
              <w:t>4.3%</w:t>
            </w:r>
          </w:p>
        </w:tc>
        <w:tc>
          <w:tcPr>
            <w:tcW w:type="dxa" w:w="1440"/>
          </w:tcPr>
          <w:p>
            <w:r>
              <w:rPr>
                <w:rFonts w:ascii="Calibri" w:hAnsi="Calibri"/>
                <w:sz w:val="22"/>
              </w:rPr>
              <w:t>+60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 FFO/share</w:t>
            </w:r>
          </w:p>
        </w:tc>
        <w:tc>
          <w:tcPr>
            <w:tcW w:type="dxa" w:w="1440"/>
          </w:tcPr>
          <w:p>
            <w:r>
              <w:rPr>
                <w:rFonts w:ascii="Calibri" w:hAnsi="Calibri"/>
                <w:sz w:val="22"/>
              </w:rPr>
              <w:t>$3.22</w:t>
            </w:r>
          </w:p>
        </w:tc>
        <w:tc>
          <w:tcPr>
            <w:tcW w:type="dxa" w:w="1440"/>
          </w:tcPr>
          <w:p>
            <w:r>
              <w:rPr>
                <w:rFonts w:ascii="Calibri" w:hAnsi="Calibri"/>
                <w:sz w:val="22"/>
              </w:rPr>
              <w:t>$3.13</w:t>
            </w:r>
          </w:p>
        </w:tc>
        <w:tc>
          <w:tcPr>
            <w:tcW w:type="dxa" w:w="1440"/>
          </w:tcPr>
          <w:p>
            <w:r>
              <w:rPr>
                <w:rFonts w:ascii="Calibri" w:hAnsi="Calibri"/>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SS NOI Growth</w:t>
            </w:r>
          </w:p>
        </w:tc>
        <w:tc>
          <w:tcPr>
            <w:tcW w:type="dxa" w:w="1440"/>
          </w:tcPr>
          <w:p>
            <w:r>
              <w:rPr>
                <w:rFonts w:ascii="Calibri" w:hAnsi="Calibri"/>
                <w:sz w:val="22"/>
              </w:rPr>
              <w:t>5.2%</w:t>
            </w:r>
          </w:p>
        </w:tc>
        <w:tc>
          <w:tcPr>
            <w:tcW w:type="dxa" w:w="1440"/>
          </w:tcPr>
          <w:p>
            <w:r>
              <w:rPr>
                <w:rFonts w:ascii="Calibri" w:hAnsi="Calibri"/>
                <w:sz w:val="22"/>
              </w:rPr>
              <w:t>3.8%</w:t>
            </w:r>
          </w:p>
        </w:tc>
        <w:tc>
          <w:tcPr>
            <w:tcW w:type="dxa" w:w="1440"/>
          </w:tcPr>
          <w:p>
            <w:r>
              <w:rPr>
                <w:rFonts w:ascii="Calibri" w:hAnsi="Calibri"/>
                <w:sz w:val="22"/>
              </w:rPr>
              <w:t>+140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 FFO/share</w:t>
            </w:r>
          </w:p>
        </w:tc>
        <w:tc>
          <w:tcPr>
            <w:tcW w:type="dxa" w:w="1440"/>
          </w:tcPr>
          <w:p>
            <w:r>
              <w:rPr>
                <w:rFonts w:ascii="Calibri" w:hAnsi="Calibri"/>
                <w:sz w:val="22"/>
              </w:rPr>
              <w:t>$3.06</w:t>
            </w:r>
          </w:p>
        </w:tc>
        <w:tc>
          <w:tcPr>
            <w:tcW w:type="dxa" w:w="1440"/>
          </w:tcPr>
          <w:p>
            <w:r>
              <w:rPr>
                <w:rFonts w:ascii="Calibri" w:hAnsi="Calibri"/>
                <w:sz w:val="22"/>
              </w:rPr>
              <w:t>$3.06</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SS NOI Growth</w:t>
            </w:r>
          </w:p>
        </w:tc>
        <w:tc>
          <w:tcPr>
            <w:tcW w:type="dxa" w:w="1440"/>
          </w:tcPr>
          <w:p>
            <w:r>
              <w:rPr>
                <w:rFonts w:ascii="Calibri" w:hAnsi="Calibri"/>
                <w:sz w:val="22"/>
              </w:rPr>
              <w:t>4.7%</w:t>
            </w:r>
          </w:p>
        </w:tc>
        <w:tc>
          <w:tcPr>
            <w:tcW w:type="dxa" w:w="1440"/>
          </w:tcPr>
          <w:p>
            <w:r>
              <w:rPr>
                <w:rFonts w:ascii="Calibri" w:hAnsi="Calibri"/>
                <w:sz w:val="22"/>
              </w:rPr>
              <w:t>3.6%</w:t>
            </w:r>
          </w:p>
        </w:tc>
        <w:tc>
          <w:tcPr>
            <w:tcW w:type="dxa" w:w="1440"/>
          </w:tcPr>
          <w:p>
            <w:r>
              <w:rPr>
                <w:rFonts w:ascii="Calibri" w:hAnsi="Calibri"/>
                <w:sz w:val="22"/>
              </w:rPr>
              <w:t>+110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 FFO/share</w:t>
            </w:r>
          </w:p>
        </w:tc>
        <w:tc>
          <w:tcPr>
            <w:tcW w:type="dxa" w:w="1440"/>
          </w:tcPr>
          <w:p>
            <w:r>
              <w:rPr>
                <w:rFonts w:ascii="Calibri" w:hAnsi="Calibri"/>
                <w:sz w:val="22"/>
              </w:rPr>
              <w:t>$2.95</w:t>
            </w:r>
          </w:p>
        </w:tc>
        <w:tc>
          <w:tcPr>
            <w:tcW w:type="dxa" w:w="1440"/>
          </w:tcPr>
          <w:p>
            <w:r>
              <w:rPr>
                <w:rFonts w:ascii="Calibri" w:hAnsi="Calibri"/>
                <w:sz w:val="22"/>
              </w:rPr>
              <w:t>$2.87</w:t>
            </w:r>
          </w:p>
        </w:tc>
        <w:tc>
          <w:tcPr>
            <w:tcW w:type="dxa" w:w="1440"/>
          </w:tcPr>
          <w:p>
            <w:r>
              <w:rPr>
                <w:rFonts w:ascii="Calibri" w:hAnsi="Calibri"/>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SS NOI Growth</w:t>
            </w:r>
          </w:p>
        </w:tc>
        <w:tc>
          <w:tcPr>
            <w:tcW w:type="dxa" w:w="1440"/>
          </w:tcPr>
          <w:p>
            <w:r>
              <w:rPr>
                <w:rFonts w:ascii="Calibri" w:hAnsi="Calibri"/>
                <w:sz w:val="22"/>
              </w:rPr>
              <w:t>3.6%</w:t>
            </w:r>
          </w:p>
        </w:tc>
        <w:tc>
          <w:tcPr>
            <w:tcW w:type="dxa" w:w="1440"/>
          </w:tcPr>
          <w:p>
            <w:r>
              <w:rPr>
                <w:rFonts w:ascii="Calibri" w:hAnsi="Calibri"/>
                <w:sz w:val="22"/>
              </w:rPr>
              <w:t>5.7%</w:t>
            </w:r>
          </w:p>
        </w:tc>
        <w:tc>
          <w:tcPr>
            <w:tcW w:type="dxa" w:w="1440"/>
          </w:tcPr>
          <w:p>
            <w:r>
              <w:rPr>
                <w:rFonts w:ascii="Calibri" w:hAnsi="Calibri"/>
                <w:sz w:val="22"/>
              </w:rPr>
              <w:t>-210 bps</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RE FFO/share</w:t>
            </w:r>
          </w:p>
        </w:tc>
        <w:tc>
          <w:tcPr>
            <w:tcW w:type="dxa" w:w="1440"/>
          </w:tcPr>
          <w:p>
            <w:r>
              <w:rPr>
                <w:rFonts w:ascii="Calibri" w:hAnsi="Calibri"/>
                <w:sz w:val="22"/>
              </w:rPr>
              <w:t>$3.35</w:t>
            </w:r>
          </w:p>
        </w:tc>
        <w:tc>
          <w:tcPr>
            <w:tcW w:type="dxa" w:w="1440"/>
          </w:tcPr>
          <w:p>
            <w:r>
              <w:rPr>
                <w:rFonts w:ascii="Calibri" w:hAnsi="Calibri"/>
                <w:sz w:val="22"/>
              </w:rPr>
              <w:t>$3.33</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SS NOI Growth</w:t>
            </w:r>
          </w:p>
        </w:tc>
        <w:tc>
          <w:tcPr>
            <w:tcW w:type="dxa" w:w="1440"/>
          </w:tcPr>
          <w:p>
            <w:r>
              <w:rPr>
                <w:rFonts w:ascii="Calibri" w:hAnsi="Calibri"/>
                <w:sz w:val="22"/>
              </w:rPr>
              <w:t>4.4%</w:t>
            </w:r>
          </w:p>
        </w:tc>
        <w:tc>
          <w:tcPr>
            <w:tcW w:type="dxa" w:w="1440"/>
          </w:tcPr>
          <w:p>
            <w:r>
              <w:rPr>
                <w:rFonts w:ascii="Calibri" w:hAnsi="Calibri"/>
                <w:sz w:val="22"/>
              </w:rPr>
              <w:t>2.0%</w:t>
            </w:r>
          </w:p>
        </w:tc>
        <w:tc>
          <w:tcPr>
            <w:tcW w:type="dxa" w:w="1440"/>
          </w:tcPr>
          <w:p>
            <w:r>
              <w:rPr>
                <w:rFonts w:ascii="Calibri" w:hAnsi="Calibri"/>
                <w:sz w:val="22"/>
              </w:rPr>
              <w:t>+240 bps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 FFO/share</w:t>
            </w:r>
          </w:p>
        </w:tc>
        <w:tc>
          <w:tcPr>
            <w:tcW w:type="dxa" w:w="1440"/>
          </w:tcPr>
          <w:p>
            <w:r>
              <w:rPr>
                <w:rFonts w:ascii="Calibri" w:hAnsi="Calibri"/>
                <w:sz w:val="22"/>
              </w:rPr>
              <w:t>$3.05</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SS NOI Growth</w:t>
            </w:r>
          </w:p>
        </w:tc>
        <w:tc>
          <w:tcPr>
            <w:tcW w:type="dxa" w:w="1440"/>
          </w:tcPr>
          <w:p>
            <w:r>
              <w:rPr>
                <w:rFonts w:ascii="Calibri" w:hAnsi="Calibri"/>
                <w:sz w:val="22"/>
              </w:rPr>
              <w:t>5.0%</w:t>
            </w:r>
          </w:p>
        </w:tc>
        <w:tc>
          <w:tcPr>
            <w:tcW w:type="dxa" w:w="1440"/>
          </w:tcPr>
          <w:p>
            <w:r>
              <w:rPr>
                <w:rFonts w:ascii="Calibri" w:hAnsi="Calibri"/>
                <w:sz w:val="22"/>
              </w:rPr>
              <w:t>1.8%</w:t>
            </w:r>
          </w:p>
        </w:tc>
        <w:tc>
          <w:tcPr>
            <w:tcW w:type="dxa" w:w="1440"/>
          </w:tcPr>
          <w:p>
            <w:r>
              <w:rPr>
                <w:rFonts w:ascii="Calibri" w:hAnsi="Calibri"/>
                <w:sz w:val="22"/>
              </w:rPr>
              <w:t>+320 bps</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 FFO/share</w:t>
            </w:r>
          </w:p>
        </w:tc>
        <w:tc>
          <w:tcPr>
            <w:tcW w:type="dxa" w:w="1440"/>
          </w:tcPr>
          <w:p>
            <w:r>
              <w:rPr>
                <w:rFonts w:ascii="Calibri" w:hAnsi="Calibri"/>
                <w:sz w:val="22"/>
              </w:rPr>
              <w:t>$2.93</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SS NOI Growth</w:t>
            </w:r>
          </w:p>
        </w:tc>
        <w:tc>
          <w:tcPr>
            <w:tcW w:type="dxa" w:w="1440"/>
          </w:tcPr>
          <w:p>
            <w:r>
              <w:rPr>
                <w:rFonts w:ascii="Calibri" w:hAnsi="Calibri"/>
                <w:sz w:val="22"/>
              </w:rPr>
              <w:t>4.8%</w:t>
            </w:r>
          </w:p>
        </w:tc>
        <w:tc>
          <w:tcPr>
            <w:tcW w:type="dxa" w:w="1440"/>
          </w:tcPr>
          <w:p>
            <w:r>
              <w:rPr>
                <w:rFonts w:ascii="Calibri" w:hAnsi="Calibri"/>
                <w:sz w:val="22"/>
              </w:rPr>
              <w:t>4.0%</w:t>
            </w:r>
          </w:p>
        </w:tc>
        <w:tc>
          <w:tcPr>
            <w:tcW w:type="dxa" w:w="1440"/>
          </w:tcPr>
          <w:p>
            <w:r>
              <w:rPr>
                <w:rFonts w:ascii="Calibri" w:hAnsi="Calibri"/>
                <w:sz w:val="22"/>
              </w:rPr>
              <w:t>+80 bps</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SPG has beaten Real Estate FFO/share consensus in 6 of the last 7 quarters with data available, and has consistently outperformed same-store NOI growth consensus by a wide margin — the Street’s “at least 3%” anchor appears to be a persistent low-ball. The one NOI miss (Q1 2025) was driven by a high consensus bar, not operational weakness. Source: Visible Alpha actuals and consensus.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the low end of FY2026 Real Estate FFO guidance at Q1 earnings (to $13.10–$13.25/share from $13.00–$13.25), signaling confidence; no post-earnings guidance revisions have been issued, and tone remains constructive with the interest expense headwind tracking toward the lower end of the original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Real Estate FFO/share</w:t>
            </w:r>
          </w:p>
        </w:tc>
        <w:tc>
          <w:tcPr>
            <w:tcW w:type="dxa" w:w="1728"/>
          </w:tcPr>
          <w:p>
            <w:r>
              <w:rPr>
                <w:rFonts w:ascii="Calibri" w:hAnsi="Calibri"/>
                <w:sz w:val="22"/>
              </w:rPr>
              <w:t>$13.10–$13.25 (midpoint $13.175); +5% YoY at midpoint</w:t>
            </w:r>
          </w:p>
        </w:tc>
        <w:tc>
          <w:tcPr>
            <w:tcW w:type="dxa" w:w="1728"/>
          </w:tcPr>
          <w:p>
            <w:r>
              <w:rPr>
                <w:rFonts w:ascii="Calibri" w:hAnsi="Calibri"/>
                <w:sz w:val="22"/>
              </w:rPr>
              <w:t>—</w:t>
            </w:r>
          </w:p>
        </w:tc>
        <w:tc>
          <w:tcPr>
            <w:tcW w:type="dxa" w:w="1728"/>
          </w:tcPr>
          <w:p>
            <w:r>
              <w:rPr>
                <w:rFonts w:ascii="Calibri" w:hAnsi="Calibri"/>
                <w:sz w:val="22"/>
              </w:rPr>
              <w:t>$13.27</w:t>
            </w:r>
          </w:p>
        </w:tc>
        <w:tc>
          <w:tcPr>
            <w:tcW w:type="dxa" w:w="1728"/>
          </w:tcPr>
          <w:p>
            <w:r>
              <w:rPr>
                <w:rFonts w:ascii="Calibri" w:hAnsi="Calibri"/>
                <w:sz w:val="22"/>
              </w:rPr>
              <w:t>Raised low end from $13.00 at Q4 2025 earnings; no post-Q1 revision; consensus sits modestly above midpoint</w:t>
            </w:r>
          </w:p>
        </w:tc>
      </w:tr>
      <w:tr>
        <w:tc>
          <w:tcPr>
            <w:tcW w:type="dxa" w:w="1728"/>
          </w:tcPr>
          <w:p>
            <w:r>
              <w:rPr>
                <w:rFonts w:ascii="Calibri" w:hAnsi="Calibri"/>
                <w:sz w:val="22"/>
              </w:rPr>
              <w:t>Domestic Property NOI Growth</w:t>
            </w:r>
          </w:p>
        </w:tc>
        <w:tc>
          <w:tcPr>
            <w:tcW w:type="dxa" w:w="1728"/>
          </w:tcPr>
          <w:p>
            <w:r>
              <w:rPr>
                <w:rFonts w:ascii="Calibri" w:hAnsi="Calibri"/>
                <w:sz w:val="22"/>
              </w:rPr>
              <w:t>At least 3% (unchanged multi-year guidance floor)</w:t>
            </w:r>
          </w:p>
        </w:tc>
        <w:tc>
          <w:tcPr>
            <w:tcW w:type="dxa" w:w="1728"/>
          </w:tcPr>
          <w:p>
            <w:r>
              <w:rPr>
                <w:rFonts w:ascii="Calibri" w:hAnsi="Calibri"/>
                <w:sz w:val="22"/>
              </w:rPr>
              <w:t>—</w:t>
            </w:r>
          </w:p>
        </w:tc>
        <w:tc>
          <w:tcPr>
            <w:tcW w:type="dxa" w:w="1728"/>
          </w:tcPr>
          <w:p>
            <w:r>
              <w:rPr>
                <w:rFonts w:ascii="Calibri" w:hAnsi="Calibri"/>
                <w:sz w:val="22"/>
              </w:rPr>
              <w:t>~5.1% (Q2 consensus)</w:t>
            </w:r>
          </w:p>
        </w:tc>
        <w:tc>
          <w:tcPr>
            <w:tcW w:type="dxa" w:w="1728"/>
          </w:tcPr>
          <w:p>
            <w:r>
              <w:rPr>
                <w:rFonts w:ascii="Calibri" w:hAnsi="Calibri"/>
                <w:sz w:val="22"/>
              </w:rPr>
              <w:t>Management does not update this guidance; stated goal is to outperform; running well above floor for 4+ consecutive years</w:t>
            </w:r>
          </w:p>
        </w:tc>
      </w:tr>
      <w:tr>
        <w:tc>
          <w:tcPr>
            <w:tcW w:type="dxa" w:w="1728"/>
          </w:tcPr>
          <w:p>
            <w:r>
              <w:rPr>
                <w:rFonts w:ascii="Calibri" w:hAnsi="Calibri"/>
                <w:sz w:val="22"/>
              </w:rPr>
              <w:t>Interest Expense Headwind (FY2026)</w:t>
            </w:r>
          </w:p>
        </w:tc>
        <w:tc>
          <w:tcPr>
            <w:tcW w:type="dxa" w:w="1728"/>
          </w:tcPr>
          <w:p>
            <w:r>
              <w:rPr>
                <w:rFonts w:ascii="Calibri" w:hAnsi="Calibri"/>
                <w:sz w:val="22"/>
              </w:rPr>
              <w:t>$0.25–$0.30/share vs. prior year</w:t>
            </w:r>
          </w:p>
        </w:tc>
        <w:tc>
          <w:tcPr>
            <w:tcW w:type="dxa" w:w="1728"/>
          </w:tcPr>
          <w:p>
            <w:r>
              <w:rPr>
                <w:rFonts w:ascii="Calibri" w:hAnsi="Calibri"/>
                <w:sz w:val="22"/>
              </w:rPr>
              <w:t>Gravitating toward $0.25 end</w:t>
            </w:r>
          </w:p>
        </w:tc>
        <w:tc>
          <w:tcPr>
            <w:tcW w:type="dxa" w:w="1728"/>
          </w:tcPr>
          <w:p>
            <w:r>
              <w:rPr>
                <w:rFonts w:ascii="Calibri" w:hAnsi="Calibri"/>
                <w:sz w:val="22"/>
              </w:rPr>
              <w:t>N/A</w:t>
            </w:r>
          </w:p>
        </w:tc>
        <w:tc>
          <w:tcPr>
            <w:tcW w:type="dxa" w:w="1728"/>
          </w:tcPr>
          <w:p>
            <w:r>
              <w:rPr>
                <w:rFonts w:ascii="Calibri" w:hAnsi="Calibri"/>
                <w:sz w:val="22"/>
              </w:rPr>
              <w:t>↑ Slight improvement — tighter credit spreads reducing headwind; base rate pressure persists; management flagged at Q1 call</w:t>
            </w:r>
          </w:p>
        </w:tc>
      </w:tr>
      <w:tr>
        <w:tc>
          <w:tcPr>
            <w:tcW w:type="dxa" w:w="1728"/>
          </w:tcPr>
          <w:p>
            <w:r>
              <w:rPr>
                <w:rFonts w:ascii="Calibri" w:hAnsi="Calibri"/>
                <w:sz w:val="22"/>
              </w:rPr>
              <w:t>Q2 2026 Dividend/share</w:t>
            </w:r>
          </w:p>
        </w:tc>
        <w:tc>
          <w:tcPr>
            <w:tcW w:type="dxa" w:w="1728"/>
          </w:tcPr>
          <w:p>
            <w:r>
              <w:rPr>
                <w:rFonts w:ascii="Calibri" w:hAnsi="Calibri"/>
                <w:sz w:val="22"/>
              </w:rPr>
              <w:t>$2.25 (declared on Q1 call; +7.1% YoY)</w:t>
            </w:r>
          </w:p>
        </w:tc>
        <w:tc>
          <w:tcPr>
            <w:tcW w:type="dxa" w:w="1728"/>
          </w:tcPr>
          <w:p>
            <w:r>
              <w:rPr>
                <w:rFonts w:ascii="Calibri" w:hAnsi="Calibri"/>
                <w:sz w:val="22"/>
              </w:rPr>
              <w:t>—</w:t>
            </w:r>
          </w:p>
        </w:tc>
        <w:tc>
          <w:tcPr>
            <w:tcW w:type="dxa" w:w="1728"/>
          </w:tcPr>
          <w:p>
            <w:r>
              <w:rPr>
                <w:rFonts w:ascii="Calibri" w:hAnsi="Calibri"/>
                <w:sz w:val="22"/>
              </w:rPr>
              <w:t>$2.25</w:t>
            </w:r>
          </w:p>
        </w:tc>
        <w:tc>
          <w:tcPr>
            <w:tcW w:type="dxa" w:w="1728"/>
          </w:tcPr>
          <w:p>
            <w:r>
              <w:rPr>
                <w:rFonts w:ascii="Calibri" w:hAnsi="Calibri"/>
                <w:sz w:val="22"/>
              </w:rPr>
              <w:t>Confirmed; payable June 30, 2026; in line with consensus</w:t>
            </w:r>
          </w:p>
        </w:tc>
      </w:tr>
      <w:tr>
        <w:tc>
          <w:tcPr>
            <w:tcW w:type="dxa" w:w="1728"/>
          </w:tcPr>
          <w:p>
            <w:r>
              <w:rPr>
                <w:rFonts w:ascii="Calibri" w:hAnsi="Calibri"/>
                <w:sz w:val="22"/>
              </w:rPr>
              <w:t>Occupancy (Malls &amp; Premium Outlets)</w:t>
            </w:r>
          </w:p>
        </w:tc>
        <w:tc>
          <w:tcPr>
            <w:tcW w:type="dxa" w:w="1728"/>
          </w:tcPr>
          <w:p>
            <w:r>
              <w:rPr>
                <w:rFonts w:ascii="Calibri" w:hAnsi="Calibri"/>
                <w:sz w:val="22"/>
              </w:rPr>
              <w:t>Not explicitly guided; management noted ability to reach 97–97.5% but focus is on NOI quality</w:t>
            </w:r>
          </w:p>
        </w:tc>
        <w:tc>
          <w:tcPr>
            <w:tcW w:type="dxa" w:w="1728"/>
          </w:tcPr>
          <w:p>
            <w:r>
              <w:rPr>
                <w:rFonts w:ascii="Calibri" w:hAnsi="Calibri"/>
                <w:sz w:val="22"/>
              </w:rPr>
              <w:t>—</w:t>
            </w:r>
          </w:p>
        </w:tc>
        <w:tc>
          <w:tcPr>
            <w:tcW w:type="dxa" w:w="1728"/>
          </w:tcPr>
          <w:p>
            <w:r>
              <w:rPr>
                <w:rFonts w:ascii="Calibri" w:hAnsi="Calibri"/>
                <w:sz w:val="22"/>
              </w:rPr>
              <w:t>96.1%</w:t>
            </w:r>
          </w:p>
        </w:tc>
        <w:tc>
          <w:tcPr>
            <w:tcW w:type="dxa" w:w="1728"/>
          </w:tcPr>
          <w:p>
            <w:r>
              <w:rPr>
                <w:rFonts w:ascii="Calibri" w:hAnsi="Calibri"/>
                <w:sz w:val="22"/>
              </w:rPr>
              <w:t>SNO pipeline at 310 bps at Q1 end; provides visibility into future commenced occupancy gains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Real Estate FFO have been stable-to-slightly-positive since the Q1 print, with the FY2026 consensus now sitting ~$0.10 above the guidance midpoint — the Street is pricing in modest outperformance, which is consistent with SPG’s track record but leaves limited room for a guidance-driven re-rating.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16, 2026)</w:t>
            </w:r>
          </w:p>
        </w:tc>
        <w:tc>
          <w:tcPr>
            <w:tcW w:type="dxa" w:w="1080"/>
            <w:shd w:val="clear" w:color="auto" w:fill="3B4259"/>
          </w:tcPr>
          <w:p>
            <w:r>
              <w:rPr>
                <w:rFonts w:ascii="Calibri" w:hAnsi="Calibri"/>
                <w:b/>
                <w:color w:val="FFFFFF"/>
                <w:sz w:val="22"/>
              </w:rPr>
              <w:t>Current Consensus (Aug 10,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 FFO/share — Q2 2026</w:t>
            </w:r>
          </w:p>
        </w:tc>
        <w:tc>
          <w:tcPr>
            <w:tcW w:type="dxa" w:w="1080"/>
          </w:tcPr>
          <w:p>
            <w:r>
              <w:rPr>
                <w:rFonts w:ascii="Calibri" w:hAnsi="Calibri"/>
                <w:sz w:val="22"/>
              </w:rPr>
              <w:t>$3.21</w:t>
            </w:r>
          </w:p>
        </w:tc>
        <w:tc>
          <w:tcPr>
            <w:tcW w:type="dxa" w:w="1080"/>
          </w:tcPr>
          <w:p>
            <w:r>
              <w:rPr>
                <w:rFonts w:ascii="Calibri" w:hAnsi="Calibri"/>
                <w:sz w:val="22"/>
              </w:rPr>
              <w:t>$3.23</w:t>
            </w:r>
          </w:p>
        </w:tc>
        <w:tc>
          <w:tcPr>
            <w:tcW w:type="dxa" w:w="1080"/>
          </w:tcPr>
          <w:p>
            <w:r>
              <w:rPr>
                <w:rFonts w:ascii="Calibri" w:hAnsi="Calibri"/>
                <w:sz w:val="22"/>
              </w:rPr>
              <w:t>+0.6%</w:t>
            </w:r>
          </w:p>
        </w:tc>
        <w:tc>
          <w:tcPr>
            <w:tcW w:type="dxa" w:w="1080"/>
          </w:tcPr>
          <w:p>
            <w:r>
              <w:rPr>
                <w:rFonts w:ascii="Calibri" w:hAnsi="Calibri"/>
                <w:sz w:val="22"/>
              </w:rPr>
              <w:t>Not guided quarterly</w:t>
            </w:r>
          </w:p>
        </w:tc>
        <w:tc>
          <w:tcPr>
            <w:tcW w:type="dxa" w:w="1080"/>
          </w:tcPr>
          <w:p>
            <w:r>
              <w:rPr>
                <w:rFonts w:ascii="Calibri" w:hAnsi="Calibri"/>
                <w:sz w:val="22"/>
              </w:rPr>
              <w:t>Not guided quarterly</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 FFO/share — FY2026</w:t>
            </w:r>
          </w:p>
        </w:tc>
        <w:tc>
          <w:tcPr>
            <w:tcW w:type="dxa" w:w="1080"/>
          </w:tcPr>
          <w:p>
            <w:r>
              <w:rPr>
                <w:rFonts w:ascii="Calibri" w:hAnsi="Calibri"/>
                <w:sz w:val="22"/>
              </w:rPr>
              <w:t>$13.30</w:t>
            </w:r>
          </w:p>
        </w:tc>
        <w:tc>
          <w:tcPr>
            <w:tcW w:type="dxa" w:w="1080"/>
          </w:tcPr>
          <w:p>
            <w:r>
              <w:rPr>
                <w:rFonts w:ascii="Calibri" w:hAnsi="Calibri"/>
                <w:sz w:val="22"/>
              </w:rPr>
              <w:t>$13.27</w:t>
            </w:r>
          </w:p>
        </w:tc>
        <w:tc>
          <w:tcPr>
            <w:tcW w:type="dxa" w:w="1080"/>
          </w:tcPr>
          <w:p>
            <w:r>
              <w:rPr>
                <w:rFonts w:ascii="Calibri" w:hAnsi="Calibri"/>
                <w:sz w:val="22"/>
              </w:rPr>
              <w:t>-0.2%</w:t>
            </w:r>
          </w:p>
        </w:tc>
        <w:tc>
          <w:tcPr>
            <w:tcW w:type="dxa" w:w="1080"/>
          </w:tcPr>
          <w:p>
            <w:r>
              <w:rPr>
                <w:rFonts w:ascii="Calibri" w:hAnsi="Calibri"/>
                <w:sz w:val="22"/>
              </w:rPr>
              <w:t>$13.10–$13.25 (midpoint $13.175)</w:t>
            </w:r>
          </w:p>
        </w:tc>
        <w:tc>
          <w:tcPr>
            <w:tcW w:type="dxa" w:w="1080"/>
          </w:tcPr>
          <w:p>
            <w:r>
              <w:rPr>
                <w:rFonts w:ascii="Calibri" w:hAnsi="Calibri"/>
                <w:sz w:val="22"/>
              </w:rPr>
              <w:t>$13.10–$13.25 (unchanged)</w:t>
            </w:r>
          </w:p>
        </w:tc>
        <w:tc>
          <w:tcPr>
            <w:tcW w:type="dxa" w:w="1080"/>
          </w:tcPr>
          <w:p>
            <w:r>
              <w:rPr>
                <w:rFonts w:ascii="Calibri" w:hAnsi="Calibri"/>
                <w:sz w:val="22"/>
              </w:rPr>
              <w:t>Unchanged</w:t>
            </w:r>
          </w:p>
        </w:tc>
        <w:tc>
          <w:tcPr>
            <w:tcW w:type="dxa" w:w="1080"/>
          </w:tcPr>
          <w:p>
            <w:r>
              <w:rPr>
                <w:rFonts w:ascii="Calibri" w:hAnsi="Calibri"/>
                <w:sz w:val="22"/>
              </w:rPr>
              <w:t>+0.7% above midpoint</w:t>
            </w:r>
          </w:p>
        </w:tc>
      </w:tr>
      <w:tr>
        <w:tc>
          <w:tcPr>
            <w:tcW w:type="dxa" w:w="1080"/>
          </w:tcPr>
          <w:p>
            <w:r>
              <w:rPr>
                <w:rFonts w:ascii="Calibri" w:hAnsi="Calibri"/>
                <w:sz w:val="22"/>
              </w:rPr>
              <w:t>RE FFO/share — FY2027</w:t>
            </w:r>
          </w:p>
        </w:tc>
        <w:tc>
          <w:tcPr>
            <w:tcW w:type="dxa" w:w="1080"/>
          </w:tcPr>
          <w:p>
            <w:r>
              <w:rPr>
                <w:rFonts w:ascii="Calibri" w:hAnsi="Calibri"/>
                <w:sz w:val="22"/>
              </w:rPr>
              <w:t>$13.77</w:t>
            </w:r>
          </w:p>
        </w:tc>
        <w:tc>
          <w:tcPr>
            <w:tcW w:type="dxa" w:w="1080"/>
          </w:tcPr>
          <w:p>
            <w:r>
              <w:rPr>
                <w:rFonts w:ascii="Calibri" w:hAnsi="Calibri"/>
                <w:sz w:val="22"/>
              </w:rPr>
              <w:t>$13.79</w:t>
            </w:r>
          </w:p>
        </w:tc>
        <w:tc>
          <w:tcPr>
            <w:tcW w:type="dxa" w:w="1080"/>
          </w:tcPr>
          <w:p>
            <w:r>
              <w:rPr>
                <w:rFonts w:ascii="Calibri" w:hAnsi="Calibri"/>
                <w:sz w:val="22"/>
              </w:rPr>
              <w:t>+0.1%</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NOI Growth — Q2 2026</w:t>
            </w:r>
          </w:p>
        </w:tc>
        <w:tc>
          <w:tcPr>
            <w:tcW w:type="dxa" w:w="1080"/>
          </w:tcPr>
          <w:p>
            <w:r>
              <w:rPr>
                <w:rFonts w:ascii="Calibri" w:hAnsi="Calibri"/>
                <w:sz w:val="22"/>
              </w:rPr>
              <w:t>6.0%</w:t>
            </w:r>
          </w:p>
        </w:tc>
        <w:tc>
          <w:tcPr>
            <w:tcW w:type="dxa" w:w="1080"/>
          </w:tcPr>
          <w:p>
            <w:r>
              <w:rPr>
                <w:rFonts w:ascii="Calibri" w:hAnsi="Calibri"/>
                <w:sz w:val="22"/>
              </w:rPr>
              <w:t>5.1%</w:t>
            </w:r>
          </w:p>
        </w:tc>
        <w:tc>
          <w:tcPr>
            <w:tcW w:type="dxa" w:w="1080"/>
          </w:tcPr>
          <w:p>
            <w:r>
              <w:rPr>
                <w:rFonts w:ascii="Calibri" w:hAnsi="Calibri"/>
                <w:sz w:val="22"/>
              </w:rPr>
              <w:t>-90 bps</w:t>
            </w:r>
          </w:p>
        </w:tc>
        <w:tc>
          <w:tcPr>
            <w:tcW w:type="dxa" w:w="1080"/>
          </w:tcPr>
          <w:p>
            <w:r>
              <w:rPr>
                <w:rFonts w:ascii="Calibri" w:hAnsi="Calibri"/>
                <w:sz w:val="22"/>
              </w:rPr>
              <w:t>At least 3% (FY)</w:t>
            </w:r>
          </w:p>
        </w:tc>
        <w:tc>
          <w:tcPr>
            <w:tcW w:type="dxa" w:w="1080"/>
          </w:tcPr>
          <w:p>
            <w:r>
              <w:rPr>
                <w:rFonts w:ascii="Calibri" w:hAnsi="Calibri"/>
                <w:sz w:val="22"/>
              </w:rPr>
              <w:t>At least 3% (FY, unchanged)</w:t>
            </w:r>
          </w:p>
        </w:tc>
        <w:tc>
          <w:tcPr>
            <w:tcW w:type="dxa" w:w="1080"/>
          </w:tcPr>
          <w:p>
            <w:r>
              <w:rPr>
                <w:rFonts w:ascii="Calibri" w:hAnsi="Calibri"/>
                <w:sz w:val="22"/>
              </w:rPr>
              <w:t>Unchanged</w:t>
            </w:r>
          </w:p>
        </w:tc>
        <w:tc>
          <w:tcPr>
            <w:tcW w:type="dxa" w:w="1080"/>
          </w:tcPr>
          <w:p>
            <w:r>
              <w:rPr>
                <w:rFonts w:ascii="Calibri" w:hAnsi="Calibri"/>
                <w:sz w:val="22"/>
              </w:rPr>
              <w:t>+210 bps above floor</w:t>
            </w:r>
          </w:p>
        </w:tc>
      </w:tr>
      <w:tr>
        <w:tc>
          <w:tcPr>
            <w:tcW w:type="dxa" w:w="1080"/>
          </w:tcPr>
          <w:p>
            <w:r>
              <w:rPr>
                <w:rFonts w:ascii="Calibri" w:hAnsi="Calibri"/>
                <w:sz w:val="22"/>
              </w:rPr>
              <w:t>SS NOI Growth — FY2026</w:t>
            </w:r>
          </w:p>
        </w:tc>
        <w:tc>
          <w:tcPr>
            <w:tcW w:type="dxa" w:w="1080"/>
          </w:tcPr>
          <w:p>
            <w:r>
              <w:rPr>
                <w:rFonts w:ascii="Calibri" w:hAnsi="Calibri"/>
                <w:sz w:val="22"/>
              </w:rPr>
              <w:t>5.4%</w:t>
            </w:r>
          </w:p>
        </w:tc>
        <w:tc>
          <w:tcPr>
            <w:tcW w:type="dxa" w:w="1080"/>
          </w:tcPr>
          <w:p>
            <w:r>
              <w:rPr>
                <w:rFonts w:ascii="Calibri" w:hAnsi="Calibri"/>
                <w:sz w:val="22"/>
              </w:rPr>
              <w:t>6.4%</w:t>
            </w:r>
          </w:p>
        </w:tc>
        <w:tc>
          <w:tcPr>
            <w:tcW w:type="dxa" w:w="1080"/>
          </w:tcPr>
          <w:p>
            <w:r>
              <w:rPr>
                <w:rFonts w:ascii="Calibri" w:hAnsi="Calibri"/>
                <w:sz w:val="22"/>
              </w:rPr>
              <w:t>+100 bps</w:t>
            </w:r>
          </w:p>
        </w:tc>
        <w:tc>
          <w:tcPr>
            <w:tcW w:type="dxa" w:w="1080"/>
          </w:tcPr>
          <w:p>
            <w:r>
              <w:rPr>
                <w:rFonts w:ascii="Calibri" w:hAnsi="Calibri"/>
                <w:sz w:val="22"/>
              </w:rPr>
              <w:t>At least 3%</w:t>
            </w:r>
          </w:p>
        </w:tc>
        <w:tc>
          <w:tcPr>
            <w:tcW w:type="dxa" w:w="1080"/>
          </w:tcPr>
          <w:p>
            <w:r>
              <w:rPr>
                <w:rFonts w:ascii="Calibri" w:hAnsi="Calibri"/>
                <w:sz w:val="22"/>
              </w:rPr>
              <w:t>At least 3% (unchanged)</w:t>
            </w:r>
          </w:p>
        </w:tc>
        <w:tc>
          <w:tcPr>
            <w:tcW w:type="dxa" w:w="1080"/>
          </w:tcPr>
          <w:p>
            <w:r>
              <w:rPr>
                <w:rFonts w:ascii="Calibri" w:hAnsi="Calibri"/>
                <w:sz w:val="22"/>
              </w:rPr>
              <w:t>Unchanged</w:t>
            </w:r>
          </w:p>
        </w:tc>
        <w:tc>
          <w:tcPr>
            <w:tcW w:type="dxa" w:w="1080"/>
          </w:tcPr>
          <w:p>
            <w:r>
              <w:rPr>
                <w:rFonts w:ascii="Calibri" w:hAnsi="Calibri"/>
                <w:sz w:val="22"/>
              </w:rPr>
              <w:t>+340 bps above floor</w:t>
            </w:r>
          </w:p>
        </w:tc>
      </w:tr>
      <w:tr>
        <w:tc>
          <w:tcPr>
            <w:tcW w:type="dxa" w:w="1080"/>
          </w:tcPr>
          <w:p>
            <w:r>
              <w:rPr>
                <w:rFonts w:ascii="Calibri" w:hAnsi="Calibri"/>
                <w:sz w:val="22"/>
              </w:rPr>
              <w:t>Occupancy — Q2 2026</w:t>
            </w:r>
          </w:p>
        </w:tc>
        <w:tc>
          <w:tcPr>
            <w:tcW w:type="dxa" w:w="1080"/>
          </w:tcPr>
          <w:p>
            <w:r>
              <w:rPr>
                <w:rFonts w:ascii="Calibri" w:hAnsi="Calibri"/>
                <w:sz w:val="22"/>
              </w:rPr>
              <w:t>96.2%</w:t>
            </w:r>
          </w:p>
        </w:tc>
        <w:tc>
          <w:tcPr>
            <w:tcW w:type="dxa" w:w="1080"/>
          </w:tcPr>
          <w:p>
            <w:r>
              <w:rPr>
                <w:rFonts w:ascii="Calibri" w:hAnsi="Calibri"/>
                <w:sz w:val="22"/>
              </w:rPr>
              <w:t>96.1%</w:t>
            </w:r>
          </w:p>
        </w:tc>
        <w:tc>
          <w:tcPr>
            <w:tcW w:type="dxa" w:w="1080"/>
          </w:tcPr>
          <w:p>
            <w:r>
              <w:rPr>
                <w:rFonts w:ascii="Calibri" w:hAnsi="Calibri"/>
                <w:sz w:val="22"/>
              </w:rPr>
              <w:t>-10 bps</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Post-Q1 baseline uses as-of date May 16, 2026 (5 trading days after May 11, 2026 earnings). FY2026 SS NOI growth consensus has moved up +100 bps since the Q1 print, reflecting the strong Q1 beat; Q2 2026 SS NOI consensus has moderated slightly from the immediate post-print level, likely reflecting normalization from the Taubman TRG stake acquisition tailwind (~120 bps in Q1) which will be smaller in subsequent quarters.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SPG has outperformed both the real estate sector (IYR) and the S&amp;P 500 by a wide margin since Q1 earnings — +10.9% vs. +1.8% for IYR and +4.6% for SPY — driven by a combination of estimate revisions and multiple expansion, meaning the stock has already priced in a solid Q2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SPG vs. IYR (iShares U.S. Real Estate ETF) vs. S&amp;P 500 (SPY) — Indexed to 100 at Q1 2026 Earnings Date (May 11, 2026). Source: Yahoo Finance.</w:t>
      </w:r>
    </w:p>
    <w:p>
      <w:r>
        <w:rPr>
          <w:rFonts w:ascii="Calibri" w:hAnsi="Calibri"/>
          <w:b/>
          <w:color w:val="525866"/>
          <w:sz w:val="22"/>
        </w:rPr>
        <w:t xml:space="preserve">Sector ETF: </w:t>
      </w:r>
      <w:r>
        <w:rPr>
          <w:rFonts w:ascii="Calibri" w:hAnsi="Calibri"/>
          <w:color w:val="525866"/>
          <w:sz w:val="22"/>
        </w:rPr>
        <w:t>IYR (iShares U.S. Real Estate ETF) — appropriate for SPG’s sub-sector as a broad REIT benchmark covering retail, office, industrial, and residential REITs. SPG’s outperformance vs. IYR (+9.1 percentage points) reflects both the company-specific beat at Q1 and the market’s re-rating of premium mall assets as tariff fears faded and leasing momentum accelerated. The stock’s rally from ~$201 to ~$223 (as of Aug 10, 2026) has pushed the implied Price/FFO multiple to approximately 16.8x on FY2026 consensus of $13.27, a premium to retail REIT peers. Material events during the period include the CEO equity grant and director elections (May 15) and the Q2 earnings date announcement (July 1).</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Q2 2026 earnings from MAC, SKT, REG, and KIM collectively paint a strongly positive read-through for SPG — leasing demand is described as “as deep as we’ve seen it” across formats, rent spreads are running double-digits, consumer spending is resilient, and every peer raised full-year guidance — all consistent with SPG’s own Q1 narrative and supportive of a Q2 beat.</w:t>
      </w:r>
    </w:p>
    <w:p>
      <w:r>
        <w:rPr>
          <w:rFonts w:ascii="Calibri" w:hAnsi="Calibri"/>
          <w:b/>
          <w:color w:val="525866"/>
          <w:sz w:val="22"/>
        </w:rPr>
        <w:t xml:space="preserve">Note: </w:t>
      </w:r>
      <w:r>
        <w:rPr>
          <w:rFonts w:ascii="Calibri" w:hAnsi="Calibri"/>
          <w:i/>
          <w:color w:val="525866"/>
          <w:sz w:val="22"/>
        </w:rPr>
        <w:t>All peer commentary below is from Q2 2026 earnings calls (reported July 30 – August 5, 2026), covering the same calendar quarter (April–June 2026) that SPG is about to report. These are current-quarter read-throughs, not prior-quarter commentary.</w:t>
      </w:r>
    </w:p>
    <w:p>
      <w:pPr>
        <w:pStyle w:val="Heading3"/>
      </w:pPr>
      <w:r>
        <w:rPr>
          <w:rFonts w:ascii="Calibri" w:hAnsi="Calibri"/>
          <w:b/>
          <w:color w:val="3B4259"/>
          <w:sz w:val="24"/>
        </w:rPr>
        <w:t>Macerich (MAC) — Q2 2026 Earnings (Reported August 4, 2026)</w:t>
      </w:r>
    </w:p>
    <w:p>
      <w:r>
        <w:rPr>
          <w:rFonts w:ascii="Calibri" w:hAnsi="Calibri"/>
          <w:b/>
          <w:color w:val="525866"/>
          <w:sz w:val="22"/>
        </w:rPr>
        <w:t xml:space="preserve">Relevance: </w:t>
      </w:r>
      <w:r>
        <w:rPr>
          <w:rFonts w:ascii="Calibri" w:hAnsi="Calibri"/>
          <w:color w:val="525866"/>
          <w:sz w:val="22"/>
        </w:rPr>
        <w:t>MAC is SPG’s closest direct peer — both operate enclosed regional malls and premium outlets, compete for the same luxury and aspirational tenants, and face the same Saks Global/department store restructuring dynamics.</w:t>
      </w:r>
    </w:p>
    <w:p>
      <w:pPr>
        <w:pStyle w:val="ListBullet"/>
        <w:ind w:left="360" w:hanging="360"/>
      </w:pPr>
      <w:r>
        <w:rPr>
          <w:rFonts w:ascii="Calibri" w:hAnsi="Calibri"/>
          <w:b/>
          <w:color w:val="525866"/>
          <w:sz w:val="22"/>
        </w:rPr>
        <w:t xml:space="preserve">Leasing demand “as deep as we’ve seen it”: </w:t>
      </w:r>
      <w:r>
        <w:rPr>
          <w:rFonts w:ascii="Calibri" w:hAnsi="Calibri"/>
          <w:color w:val="525866"/>
          <w:sz w:val="22"/>
        </w:rPr>
        <w:t xml:space="preserve">MAC described retailer demand as the deepest it has ever seen, with brands “pursuing quality over quantity” and competing for limited space. The leasing speedometer (tracking new deal completion in the 5-year plan) reached 88%, ahead of the 85% midyear target. Only 170 leases remain to complete 1,000 new deals. → </w:t>
      </w:r>
      <w:r>
        <w:rPr>
          <w:rFonts w:ascii="Calibri" w:hAnsi="Calibri"/>
          <w:b/>
          <w:color w:val="525866"/>
          <w:sz w:val="22"/>
        </w:rPr>
        <w:t>Read-through: Confirms the broad-based leasing demand SPG described at Q1 has continued into Q2.</w:t>
      </w:r>
    </w:p>
    <w:p>
      <w:pPr>
        <w:pStyle w:val="ListBullet"/>
        <w:ind w:left="360" w:hanging="360"/>
      </w:pPr>
      <w:r>
        <w:rPr>
          <w:rFonts w:ascii="Calibri" w:hAnsi="Calibri"/>
          <w:b/>
          <w:color w:val="525866"/>
          <w:sz w:val="22"/>
        </w:rPr>
        <w:t xml:space="preserve">Portfolio sales hit a new company high of $919/sq ft ($954 for go-forward portfolio): </w:t>
      </w:r>
      <w:r>
        <w:rPr>
          <w:rFonts w:ascii="Calibri" w:hAnsi="Calibri"/>
          <w:color w:val="525866"/>
          <w:sz w:val="22"/>
        </w:rPr>
        <w:t xml:space="preserve">MAC’s sales productivity reached record levels, with the Zara flagship at Tysons Corner ranked #1 in the U.S. and #5 globally on opening weekend. Gen Z consumers are “over-indexing on visiting physical stores.” → </w:t>
      </w:r>
      <w:r>
        <w:rPr>
          <w:rFonts w:ascii="Calibri" w:hAnsi="Calibri"/>
          <w:b/>
          <w:color w:val="525866"/>
          <w:sz w:val="22"/>
        </w:rPr>
        <w:t>Read-through: Supports SPG’s comparable sales growth narrative; premium mall traffic and spending remain robust.</w:t>
      </w:r>
    </w:p>
    <w:p>
      <w:pPr>
        <w:pStyle w:val="ListBullet"/>
        <w:ind w:left="360" w:hanging="360"/>
      </w:pPr>
      <w:r>
        <w:rPr>
          <w:rFonts w:ascii="Calibri" w:hAnsi="Calibri"/>
          <w:b/>
          <w:color w:val="525866"/>
          <w:sz w:val="22"/>
        </w:rPr>
        <w:t xml:space="preserve">Go-forward NOI grew 3.8% in Q2 (vs. 2.5% YTD), reiterated “at least 3%” FY guidance: </w:t>
      </w:r>
      <w:r>
        <w:rPr>
          <w:rFonts w:ascii="Calibri" w:hAnsi="Calibri"/>
          <w:color w:val="525866"/>
          <w:sz w:val="22"/>
        </w:rPr>
        <w:t xml:space="preserve">MAC’s NOI acceleration in Q2 vs. H1 implies H2 strength, with Q4 expected to be stronger than Q3 due to SNO contributions. The 3-year NOI CAGR midpoint is 6.5% for 2026–2028, implying &gt;8% growth in 2027–2028. → </w:t>
      </w:r>
      <w:r>
        <w:rPr>
          <w:rFonts w:ascii="Calibri" w:hAnsi="Calibri"/>
          <w:b/>
          <w:color w:val="525866"/>
          <w:sz w:val="22"/>
        </w:rPr>
        <w:t>Read-through: Positive for SPG’s same-store NOI trajectory; SNO pipeline conversion is a shared tailwind.</w:t>
      </w:r>
    </w:p>
    <w:p>
      <w:pPr>
        <w:pStyle w:val="ListBullet"/>
        <w:ind w:left="360" w:hanging="360"/>
      </w:pPr>
      <w:r>
        <w:rPr>
          <w:rFonts w:ascii="Calibri" w:hAnsi="Calibri"/>
          <w:b/>
          <w:color w:val="525866"/>
          <w:sz w:val="22"/>
        </w:rPr>
        <w:t xml:space="preserve">No cap rate compression in the mall sector yet: </w:t>
      </w:r>
      <w:r>
        <w:rPr>
          <w:rFonts w:ascii="Calibri" w:hAnsi="Calibri"/>
          <w:color w:val="525866"/>
          <w:sz w:val="22"/>
        </w:rPr>
        <w:t xml:space="preserve">MAC noted that assets requiring “elevate and transform” efforts still face leverage limitations on acquisitions, keeping cap rates elevated vs. grocery-anchored formats. → </w:t>
      </w:r>
      <w:r>
        <w:rPr>
          <w:rFonts w:ascii="Calibri" w:hAnsi="Calibri"/>
          <w:b/>
          <w:color w:val="525866"/>
          <w:sz w:val="22"/>
        </w:rPr>
        <w:t>Read-through: SPG’s premium assets trade at tighter cap rates, but the broader mall acquisition market remains rational.</w:t>
      </w:r>
    </w:p>
    <w:p>
      <w:pPr>
        <w:pStyle w:val="Heading3"/>
      </w:pPr>
      <w:r>
        <w:rPr>
          <w:rFonts w:ascii="Calibri" w:hAnsi="Calibri"/>
          <w:b/>
          <w:color w:val="3B4259"/>
          <w:sz w:val="24"/>
        </w:rPr>
        <w:t>Tanger (SKT) — Q2 2026 Earnings (Reported August 5, 2026)</w:t>
      </w:r>
    </w:p>
    <w:p>
      <w:r>
        <w:rPr>
          <w:rFonts w:ascii="Calibri" w:hAnsi="Calibri"/>
          <w:b/>
          <w:color w:val="525866"/>
          <w:sz w:val="22"/>
        </w:rPr>
        <w:t xml:space="preserve">Relevance: </w:t>
      </w:r>
      <w:r>
        <w:rPr>
          <w:rFonts w:ascii="Calibri" w:hAnsi="Calibri"/>
          <w:color w:val="525866"/>
          <w:sz w:val="22"/>
        </w:rPr>
        <w:t>SKT operates outlet centers that directly compete with SPG’s Premium Outlets platform (Woodbury Common, Premium Outlets network). SKT’s commentary on tourist traffic, outlet-specific consumer behavior, and Saks Off 5th recapture is a direct read-through.</w:t>
      </w:r>
    </w:p>
    <w:p>
      <w:pPr>
        <w:pStyle w:val="ListBullet"/>
        <w:ind w:left="360" w:hanging="360"/>
      </w:pPr>
      <w:r>
        <w:rPr>
          <w:rFonts w:ascii="Calibri" w:hAnsi="Calibri"/>
          <w:b/>
          <w:color w:val="525866"/>
          <w:sz w:val="22"/>
        </w:rPr>
        <w:t xml:space="preserve">Consumer “quite resilient”; domestic travel driving traffic: </w:t>
      </w:r>
      <w:r>
        <w:rPr>
          <w:rFonts w:ascii="Calibri" w:hAnsi="Calibri"/>
          <w:color w:val="525866"/>
          <w:sz w:val="22"/>
        </w:rPr>
        <w:t xml:space="preserve">SKT noted that anticipated headwinds (higher gas prices, interest rates) have encouraged domestic travel, benefiting outlet centers. Traffic remained positive in Q2 and continued into July and back-to-school. The World Cup drove incremental international and domestic tourism. → </w:t>
      </w:r>
      <w:r>
        <w:rPr>
          <w:rFonts w:ascii="Calibri" w:hAnsi="Calibri"/>
          <w:b/>
          <w:color w:val="525866"/>
          <w:sz w:val="22"/>
        </w:rPr>
        <w:t>Read-through: Partially offsets SPG’s Q1 concern about softer international tourist traffic at Woodbury; domestic substitution may be filling the gap.</w:t>
      </w:r>
    </w:p>
    <w:p>
      <w:pPr>
        <w:pStyle w:val="ListBullet"/>
        <w:ind w:left="360" w:hanging="360"/>
      </w:pPr>
      <w:r>
        <w:rPr>
          <w:rFonts w:ascii="Calibri" w:hAnsi="Calibri"/>
          <w:b/>
          <w:color w:val="525866"/>
          <w:sz w:val="22"/>
        </w:rPr>
        <w:t xml:space="preserve">Same-center NOI +3.5%; blended rent spreads 10.5% (18th consecutive quarter of positive spreads): </w:t>
      </w:r>
      <w:r>
        <w:rPr>
          <w:rFonts w:ascii="Calibri" w:hAnsi="Calibri"/>
          <w:color w:val="525866"/>
          <w:sz w:val="22"/>
        </w:rPr>
        <w:t xml:space="preserve">SKT’s rent spread momentum is consistent and broad-based. Average tenant sales reached $487/sq ft (+5% YoY) with a low 9.7% occupancy cost ratio, indicating significant runway to push rents. → </w:t>
      </w:r>
      <w:r>
        <w:rPr>
          <w:rFonts w:ascii="Calibri" w:hAnsi="Calibri"/>
          <w:b/>
          <w:color w:val="525866"/>
          <w:sz w:val="22"/>
        </w:rPr>
        <w:t>Read-through: Outlet format rent growth is healthy; SPG’s Premium Outlets should show similar or better dynamics given superior asset quality.</w:t>
      </w:r>
    </w:p>
    <w:p>
      <w:pPr>
        <w:pStyle w:val="ListBullet"/>
        <w:ind w:left="360" w:hanging="360"/>
      </w:pPr>
      <w:r>
        <w:rPr>
          <w:rFonts w:ascii="Calibri" w:hAnsi="Calibri"/>
          <w:b/>
          <w:color w:val="525866"/>
          <w:sz w:val="22"/>
        </w:rPr>
        <w:t xml:space="preserve">Saks Off 5th recapture: strategic opportunity, not a headwind: </w:t>
      </w:r>
      <w:r>
        <w:rPr>
          <w:rFonts w:ascii="Calibri" w:hAnsi="Calibri"/>
          <w:color w:val="525866"/>
          <w:sz w:val="22"/>
        </w:rPr>
        <w:t xml:space="preserve">SKT took back 150,000 sq ft of Saks stores (occupancy dipped ~45 bps sequentially), with backfill deals already in the pipeline and a “2 to 4x multiplier” on new rents vs. Saks rents. Re-tenanting larger boxes (25,000–30,000 sq ft) will take longer, with minimal 2027 impact and bigger contribution in 2028. → </w:t>
      </w:r>
      <w:r>
        <w:rPr>
          <w:rFonts w:ascii="Calibri" w:hAnsi="Calibri"/>
          <w:b/>
          <w:color w:val="525866"/>
          <w:sz w:val="22"/>
        </w:rPr>
        <w:t>Read-through: SPG faces similar Saks Global exposure; SKT’s experience suggests manageable near-term occupancy drag with meaningful long-term upside.</w:t>
      </w:r>
    </w:p>
    <w:p>
      <w:pPr>
        <w:pStyle w:val="ListBullet"/>
        <w:ind w:left="360" w:hanging="360"/>
      </w:pPr>
      <w:r>
        <w:rPr>
          <w:rFonts w:ascii="Calibri" w:hAnsi="Calibri"/>
          <w:b/>
          <w:color w:val="525866"/>
          <w:sz w:val="22"/>
        </w:rPr>
        <w:t xml:space="preserve">Raised FY2026 guidance: Core FFO now $2.45–$2.52/share (midpoint +7% YoY); same-center NOI low end raised to 2.75% from 2.25%: </w:t>
      </w:r>
      <w:r>
        <w:rPr>
          <w:rFonts w:ascii="Calibri" w:hAnsi="Calibri"/>
          <w:color w:val="525866"/>
          <w:sz w:val="22"/>
        </w:rPr>
        <w:t xml:space="preserve">SKT raised guidance on the back of strong YTD performance and the Levis Commons acquisition. → </w:t>
      </w:r>
      <w:r>
        <w:rPr>
          <w:rFonts w:ascii="Calibri" w:hAnsi="Calibri"/>
          <w:b/>
          <w:color w:val="525866"/>
          <w:sz w:val="22"/>
        </w:rPr>
        <w:t>Read-through: Outlet sector fundamentals are strong enough to support guidance raises, consistent with SPG’s own raised FY2026 guidance.</w:t>
      </w:r>
    </w:p>
    <w:p>
      <w:pPr>
        <w:pStyle w:val="ListBullet"/>
        <w:ind w:left="360" w:hanging="360"/>
      </w:pPr>
      <w:r>
        <w:rPr>
          <w:rFonts w:ascii="Calibri" w:hAnsi="Calibri"/>
          <w:b/>
          <w:color w:val="525866"/>
          <w:sz w:val="22"/>
        </w:rPr>
        <w:t xml:space="preserve">Younger consumer cohort increasingly shopping outlets: </w:t>
      </w:r>
      <w:r>
        <w:rPr>
          <w:rFonts w:ascii="Calibri" w:hAnsi="Calibri"/>
          <w:color w:val="525866"/>
          <w:sz w:val="22"/>
        </w:rPr>
        <w:t xml:space="preserve">SKT noted Gen Alpha and younger consumers are the most active in-center shoppers, attracted by brands like Sephora, Ulta, and athleisure. Non-apparel GLA has grown to 32% from ~19% several years ago. → </w:t>
      </w:r>
      <w:r>
        <w:rPr>
          <w:rFonts w:ascii="Calibri" w:hAnsi="Calibri"/>
          <w:b/>
          <w:color w:val="525866"/>
          <w:sz w:val="22"/>
        </w:rPr>
        <w:t>Read-through: Demographic tailwind is real and broadening; SPG’s “Meet Me at the Mall” Gen Z campaign is tapping the same trend.</w:t>
      </w:r>
    </w:p>
    <w:p>
      <w:pPr>
        <w:pStyle w:val="Heading3"/>
      </w:pPr>
      <w:r>
        <w:rPr>
          <w:rFonts w:ascii="Calibri" w:hAnsi="Calibri"/>
          <w:b/>
          <w:color w:val="3B4259"/>
          <w:sz w:val="24"/>
        </w:rPr>
        <w:t>Regency Centers (REG) — Q2 2026 Earnings (Reported July 30, 2026)</w:t>
      </w:r>
    </w:p>
    <w:p>
      <w:r>
        <w:rPr>
          <w:rFonts w:ascii="Calibri" w:hAnsi="Calibri"/>
          <w:b/>
          <w:color w:val="525866"/>
          <w:sz w:val="22"/>
        </w:rPr>
        <w:t xml:space="preserve">Relevance: </w:t>
      </w:r>
      <w:r>
        <w:rPr>
          <w:rFonts w:ascii="Calibri" w:hAnsi="Calibri"/>
          <w:color w:val="525866"/>
          <w:sz w:val="22"/>
        </w:rPr>
        <w:t>REG operates grocery-anchored open-air centers — a different format from SPG’s enclosed malls, but a useful read on broad retail leasing demand, consumer health, and the overall REIT operating environment. REG’s tenant base (grocers, health/wellness, restaurants) overlaps with SPG’s food &amp; beverage and service tenants.</w:t>
      </w:r>
    </w:p>
    <w:p>
      <w:pPr>
        <w:pStyle w:val="ListBullet"/>
        <w:ind w:left="360" w:hanging="360"/>
      </w:pPr>
      <w:r>
        <w:rPr>
          <w:rFonts w:ascii="Calibri" w:hAnsi="Calibri"/>
          <w:b/>
          <w:color w:val="525866"/>
          <w:sz w:val="22"/>
        </w:rPr>
        <w:t xml:space="preserve">Same-property lease rate nearly 97%; SNO spread of 240 bps vs. 180 bps historical norm: </w:t>
      </w:r>
      <w:r>
        <w:rPr>
          <w:rFonts w:ascii="Calibri" w:hAnsi="Calibri"/>
          <w:color w:val="525866"/>
          <w:sz w:val="22"/>
        </w:rPr>
        <w:t xml:space="preserve">REG’s leasing is at record levels with a 240 bps SNO pipeline (vs. ~180 bps stabilized), providing clear visibility into future commenced occupancy gains. Retention rate is 84%. → </w:t>
      </w:r>
      <w:r>
        <w:rPr>
          <w:rFonts w:ascii="Calibri" w:hAnsi="Calibri"/>
          <w:b/>
          <w:color w:val="525866"/>
          <w:sz w:val="22"/>
        </w:rPr>
        <w:t>Read-through: Broad retail leasing demand is at cycle highs across formats; SPG’s 310 bps SNO pipeline is even larger, suggesting strong forward occupancy.</w:t>
      </w:r>
    </w:p>
    <w:p>
      <w:pPr>
        <w:pStyle w:val="ListBullet"/>
        <w:ind w:left="360" w:hanging="360"/>
      </w:pPr>
      <w:r>
        <w:rPr>
          <w:rFonts w:ascii="Calibri" w:hAnsi="Calibri"/>
          <w:b/>
          <w:color w:val="525866"/>
          <w:sz w:val="22"/>
        </w:rPr>
        <w:t xml:space="preserve">Cash rent spreads above 10%; GAAP spreads nearly 20%; &gt;80% of new shop leases have 3%+ annual escalators: </w:t>
      </w:r>
      <w:r>
        <w:rPr>
          <w:rFonts w:ascii="Calibri" w:hAnsi="Calibri"/>
          <w:color w:val="525866"/>
          <w:sz w:val="22"/>
        </w:rPr>
        <w:t xml:space="preserve">REG is embedding rent escalators into nearly all new leases, driving sustainable base rent growth. Quality space is in short supply, giving landlords significant negotiating leverage. → </w:t>
      </w:r>
      <w:r>
        <w:rPr>
          <w:rFonts w:ascii="Calibri" w:hAnsi="Calibri"/>
          <w:b/>
          <w:color w:val="525866"/>
          <w:sz w:val="22"/>
        </w:rPr>
        <w:t>Read-through: Pricing power is real and structural across retail formats; SPG’s new leases at 20–25% above prior year are consistent with this dynamic.</w:t>
      </w:r>
    </w:p>
    <w:p>
      <w:pPr>
        <w:pStyle w:val="ListBullet"/>
        <w:ind w:left="360" w:hanging="360"/>
      </w:pPr>
      <w:r>
        <w:rPr>
          <w:rFonts w:ascii="Calibri" w:hAnsi="Calibri"/>
          <w:b/>
          <w:color w:val="525866"/>
          <w:sz w:val="22"/>
        </w:rPr>
        <w:t xml:space="preserve">Tenant sales growth widespread; foot traffic up; accounts receivable below historical averages: </w:t>
      </w:r>
      <w:r>
        <w:rPr>
          <w:rFonts w:ascii="Calibri" w:hAnsi="Calibri"/>
          <w:color w:val="525866"/>
          <w:sz w:val="22"/>
        </w:rPr>
        <w:t xml:space="preserve">REG confirmed a “very healthy tenant base” with no signs of stress despite cautious commentary from one large grocer on consumer sentiment. Centers benefit from both “trade up” and “trade down” behavior. → </w:t>
      </w:r>
      <w:r>
        <w:rPr>
          <w:rFonts w:ascii="Calibri" w:hAnsi="Calibri"/>
          <w:b/>
          <w:color w:val="525866"/>
          <w:sz w:val="22"/>
        </w:rPr>
        <w:t>Read-through: Consumer spending is holding up across income levels; no systemic tenant credit deterioration.</w:t>
      </w:r>
    </w:p>
    <w:p>
      <w:pPr>
        <w:pStyle w:val="ListBullet"/>
        <w:ind w:left="360" w:hanging="360"/>
      </w:pPr>
      <w:r>
        <w:rPr>
          <w:rFonts w:ascii="Calibri" w:hAnsi="Calibri"/>
          <w:b/>
          <w:color w:val="525866"/>
          <w:sz w:val="22"/>
        </w:rPr>
        <w:t xml:space="preserve">Raised FY2026 guidance: total NOI growth now mid-6% area; core operating EPS growth to exceed 5%: </w:t>
      </w:r>
      <w:r>
        <w:rPr>
          <w:rFonts w:ascii="Calibri" w:hAnsi="Calibri"/>
          <w:color w:val="525866"/>
          <w:sz w:val="22"/>
        </w:rPr>
        <w:t xml:space="preserve">REG raised same-property NOI growth by 40 bps at the midpoint, driven by higher commenced occupancy and better expense recoveries. → </w:t>
      </w:r>
      <w:r>
        <w:rPr>
          <w:rFonts w:ascii="Calibri" w:hAnsi="Calibri"/>
          <w:b/>
          <w:color w:val="525866"/>
          <w:sz w:val="22"/>
        </w:rPr>
        <w:t>Read-through: The retail REIT sector is broadly raising guidance in Q2 2026 — a positive backdrop for SPG’s own Q2 print.</w:t>
      </w:r>
    </w:p>
    <w:p>
      <w:pPr>
        <w:pStyle w:val="Heading3"/>
      </w:pPr>
      <w:r>
        <w:rPr>
          <w:rFonts w:ascii="Calibri" w:hAnsi="Calibri"/>
          <w:b/>
          <w:color w:val="3B4259"/>
          <w:sz w:val="24"/>
        </w:rPr>
        <w:t>Kimco Realty (KIM) — Q2 2026 Earnings (Reported August 4, 2026)</w:t>
      </w:r>
    </w:p>
    <w:p>
      <w:r>
        <w:rPr>
          <w:rFonts w:ascii="Calibri" w:hAnsi="Calibri"/>
          <w:b/>
          <w:color w:val="525866"/>
          <w:sz w:val="22"/>
        </w:rPr>
        <w:t xml:space="preserve">Relevance: </w:t>
      </w:r>
      <w:r>
        <w:rPr>
          <w:rFonts w:ascii="Calibri" w:hAnsi="Calibri"/>
          <w:color w:val="525866"/>
          <w:sz w:val="22"/>
        </w:rPr>
        <w:t>KIM is the largest grocery-anchored open-air REIT and a useful read on broad consumer health, leasing demand, and the competitive acquisition environment. KIM’s commentary on foot traffic by income cohort and cap rate compression is particularly relevant for SPG’s valuation context.</w:t>
      </w:r>
    </w:p>
    <w:p>
      <w:pPr>
        <w:pStyle w:val="ListBullet"/>
        <w:ind w:left="360" w:hanging="360"/>
      </w:pPr>
      <w:r>
        <w:rPr>
          <w:rFonts w:ascii="Calibri" w:hAnsi="Calibri"/>
          <w:b/>
          <w:color w:val="525866"/>
          <w:sz w:val="22"/>
        </w:rPr>
        <w:t xml:space="preserve">19th consecutive quarter of double-digit new leasing spreads (40.4% on new deals); blended spread 13.1%: </w:t>
      </w:r>
      <w:r>
        <w:rPr>
          <w:rFonts w:ascii="Calibri" w:hAnsi="Calibri"/>
          <w:color w:val="525866"/>
          <w:sz w:val="22"/>
        </w:rPr>
        <w:t xml:space="preserve">KIM signed 461 leases across 2.5M sq ft in Q2, with new leasing activity at a record mark-to-market. Small shop occupancy hit a new all-time high of 92.9%. → </w:t>
      </w:r>
      <w:r>
        <w:rPr>
          <w:rFonts w:ascii="Calibri" w:hAnsi="Calibri"/>
          <w:b/>
          <w:color w:val="525866"/>
          <w:sz w:val="22"/>
        </w:rPr>
        <w:t>Read-through: Leasing momentum is at cycle highs across formats; SPG’s new leases at 20–25% above prior year are consistent with this sector-wide dynamic.</w:t>
      </w:r>
    </w:p>
    <w:p>
      <w:pPr>
        <w:pStyle w:val="ListBullet"/>
        <w:ind w:left="360" w:hanging="360"/>
      </w:pPr>
      <w:r>
        <w:rPr>
          <w:rFonts w:ascii="Calibri" w:hAnsi="Calibri"/>
          <w:b/>
          <w:color w:val="525866"/>
          <w:sz w:val="22"/>
        </w:rPr>
        <w:t xml:space="preserve">Foot traffic +3% YoY (including +3.2% in June); spending up across all income cohorts: </w:t>
      </w:r>
      <w:r>
        <w:rPr>
          <w:rFonts w:ascii="Calibri" w:hAnsi="Calibri"/>
          <w:color w:val="525866"/>
          <w:sz w:val="22"/>
        </w:rPr>
        <w:t xml:space="preserve">KIM reported foot traffic growth led by high-income demographics but positive even for the lowest income cohort (+2%). Middle-income spending is up ~5.5% and low-income spending up ~3.5%. The consumer is “incredibly resilient” supported by low unemployment. → </w:t>
      </w:r>
      <w:r>
        <w:rPr>
          <w:rFonts w:ascii="Calibri" w:hAnsi="Calibri"/>
          <w:b/>
          <w:color w:val="525866"/>
          <w:sz w:val="22"/>
        </w:rPr>
        <w:t>Read-through: Consumer spending is broad-based and not deteriorating; SPG’s upper-end consumer focus should show even stronger results.</w:t>
      </w:r>
    </w:p>
    <w:p>
      <w:pPr>
        <w:pStyle w:val="ListBullet"/>
        <w:ind w:left="360" w:hanging="360"/>
      </w:pPr>
      <w:r>
        <w:rPr>
          <w:rFonts w:ascii="Calibri" w:hAnsi="Calibri"/>
          <w:b/>
          <w:color w:val="525866"/>
          <w:sz w:val="22"/>
        </w:rPr>
        <w:t xml:space="preserve">Credit loss of 57 bps in Q2 (vs. 89 bps in Q2 2025); YTD credit loss just 54 bps: </w:t>
      </w:r>
      <w:r>
        <w:rPr>
          <w:rFonts w:ascii="Calibri" w:hAnsi="Calibri"/>
          <w:color w:val="525866"/>
          <w:sz w:val="22"/>
        </w:rPr>
        <w:t xml:space="preserve">Tenant credit performance is improving materially year-over-year. Painted Tree bankruptcy had a 16 bps occupancy impact but was absorbed without guidance cuts. → </w:t>
      </w:r>
      <w:r>
        <w:rPr>
          <w:rFonts w:ascii="Calibri" w:hAnsi="Calibri"/>
          <w:b/>
          <w:color w:val="525866"/>
          <w:sz w:val="22"/>
        </w:rPr>
        <w:t>Read-through: Tenant credit environment is benign; SPG’s Saks Global and Eddie Bauer exposure should be manageable.</w:t>
      </w:r>
    </w:p>
    <w:p>
      <w:pPr>
        <w:pStyle w:val="ListBullet"/>
        <w:ind w:left="360" w:hanging="360"/>
      </w:pPr>
      <w:r>
        <w:rPr>
          <w:rFonts w:ascii="Calibri" w:hAnsi="Calibri"/>
          <w:b/>
          <w:color w:val="525866"/>
          <w:sz w:val="22"/>
        </w:rPr>
        <w:t xml:space="preserve">Raised FY2026 FFO guidance; same-property NOI growth raised to 3.0–3.5% (from 2.8–3.5%): </w:t>
      </w:r>
      <w:r>
        <w:rPr>
          <w:rFonts w:ascii="Calibri" w:hAnsi="Calibri"/>
          <w:color w:val="525866"/>
          <w:sz w:val="22"/>
        </w:rPr>
        <w:t xml:space="preserve">KIM raised the lower end of FFO guidance and tightened credit loss assumptions. Expects same-store NOI acceleration to mid-3s to slightly above 4% in H2 2026. → </w:t>
      </w:r>
      <w:r>
        <w:rPr>
          <w:rFonts w:ascii="Calibri" w:hAnsi="Calibri"/>
          <w:b/>
          <w:color w:val="525866"/>
          <w:sz w:val="22"/>
        </w:rPr>
        <w:t>Read-through: Sector-wide guidance raises in Q2 2026 create a positive backdrop; SPG’s own guidance raise potential is supported by peer momentum.</w:t>
      </w:r>
    </w:p>
    <w:p>
      <w:pPr>
        <w:pStyle w:val="ListBullet"/>
        <w:ind w:left="360" w:hanging="360"/>
      </w:pPr>
      <w:r>
        <w:rPr>
          <w:rFonts w:ascii="Calibri" w:hAnsi="Calibri"/>
          <w:b/>
          <w:color w:val="525866"/>
          <w:sz w:val="22"/>
        </w:rPr>
        <w:t xml:space="preserve">Cap rate compression across all formats; grocery-anchored centers now trading starting with a “4” handle: </w:t>
      </w:r>
      <w:r>
        <w:rPr>
          <w:rFonts w:ascii="Calibri" w:hAnsi="Calibri"/>
          <w:color w:val="525866"/>
          <w:sz w:val="22"/>
        </w:rPr>
        <w:t xml:space="preserve">KIM noted aggressive private capital allocation into grocery-anchored centers, with cap rates compressing to the low-to-mid 4% range for core assets. Spread between primary and secondary markets is narrowing. → </w:t>
      </w:r>
      <w:r>
        <w:rPr>
          <w:rFonts w:ascii="Calibri" w:hAnsi="Calibri"/>
          <w:b/>
          <w:color w:val="525866"/>
          <w:sz w:val="22"/>
        </w:rPr>
        <w:t>Read-through: Cap rate compression is a sector-wide phenomenon; SPG’s premium assets should benefit from continued multiple support.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Theme</w:t>
            </w:r>
          </w:p>
        </w:tc>
        <w:tc>
          <w:tcPr>
            <w:tcW w:type="dxa" w:w="1440"/>
            <w:shd w:val="clear" w:color="auto" w:fill="3B4259"/>
          </w:tcPr>
          <w:p>
            <w:r>
              <w:rPr>
                <w:rFonts w:ascii="Calibri" w:hAnsi="Calibri"/>
                <w:b/>
                <w:color w:val="FFFFFF"/>
                <w:sz w:val="22"/>
              </w:rPr>
              <w:t>MAC</w:t>
            </w:r>
          </w:p>
        </w:tc>
        <w:tc>
          <w:tcPr>
            <w:tcW w:type="dxa" w:w="1440"/>
            <w:shd w:val="clear" w:color="auto" w:fill="3B4259"/>
          </w:tcPr>
          <w:p>
            <w:r>
              <w:rPr>
                <w:rFonts w:ascii="Calibri" w:hAnsi="Calibri"/>
                <w:b/>
                <w:color w:val="FFFFFF"/>
                <w:sz w:val="22"/>
              </w:rPr>
              <w:t>SKT</w:t>
            </w:r>
          </w:p>
        </w:tc>
        <w:tc>
          <w:tcPr>
            <w:tcW w:type="dxa" w:w="1440"/>
            <w:shd w:val="clear" w:color="auto" w:fill="3B4259"/>
          </w:tcPr>
          <w:p>
            <w:r>
              <w:rPr>
                <w:rFonts w:ascii="Calibri" w:hAnsi="Calibri"/>
                <w:b/>
                <w:color w:val="FFFFFF"/>
                <w:sz w:val="22"/>
              </w:rPr>
              <w:t>REG</w:t>
            </w:r>
          </w:p>
        </w:tc>
        <w:tc>
          <w:tcPr>
            <w:tcW w:type="dxa" w:w="1440"/>
            <w:shd w:val="clear" w:color="auto" w:fill="3B4259"/>
          </w:tcPr>
          <w:p>
            <w:r>
              <w:rPr>
                <w:rFonts w:ascii="Calibri" w:hAnsi="Calibri"/>
                <w:b/>
                <w:color w:val="FFFFFF"/>
                <w:sz w:val="22"/>
              </w:rPr>
              <w:t>KIM</w:t>
            </w:r>
          </w:p>
        </w:tc>
        <w:tc>
          <w:tcPr>
            <w:tcW w:type="dxa" w:w="1440"/>
            <w:shd w:val="clear" w:color="auto" w:fill="3B4259"/>
          </w:tcPr>
          <w:p>
            <w:r>
              <w:rPr>
                <w:rFonts w:ascii="Calibri" w:hAnsi="Calibri"/>
                <w:b/>
                <w:color w:val="FFFFFF"/>
                <w:sz w:val="22"/>
              </w:rPr>
              <w:t>SPG Read-Through</w:t>
            </w:r>
          </w:p>
        </w:tc>
      </w:tr>
      <w:tr>
        <w:tc>
          <w:tcPr>
            <w:tcW w:type="dxa" w:w="1440"/>
          </w:tcPr>
          <w:p>
            <w:r>
              <w:rPr>
                <w:rFonts w:ascii="Calibri" w:hAnsi="Calibri"/>
                <w:sz w:val="22"/>
              </w:rPr>
              <w:t>Leasing Demand</w:t>
            </w:r>
          </w:p>
        </w:tc>
        <w:tc>
          <w:tcPr>
            <w:tcW w:type="dxa" w:w="1440"/>
          </w:tcPr>
          <w:p>
            <w:r>
              <w:rPr>
                <w:rFonts w:ascii="Calibri" w:hAnsi="Calibri"/>
                <w:sz w:val="22"/>
              </w:rPr>
              <w:t>✅ Deepest ever seen</w:t>
            </w:r>
          </w:p>
        </w:tc>
        <w:tc>
          <w:tcPr>
            <w:tcW w:type="dxa" w:w="1440"/>
          </w:tcPr>
          <w:p>
            <w:r>
              <w:rPr>
                <w:rFonts w:ascii="Calibri" w:hAnsi="Calibri"/>
                <w:sz w:val="22"/>
              </w:rPr>
              <w:t>✅ Strong; 18 qtrs positive spreads</w:t>
            </w:r>
          </w:p>
        </w:tc>
        <w:tc>
          <w:tcPr>
            <w:tcW w:type="dxa" w:w="1440"/>
          </w:tcPr>
          <w:p>
            <w:r>
              <w:rPr>
                <w:rFonts w:ascii="Calibri" w:hAnsi="Calibri"/>
                <w:sz w:val="22"/>
              </w:rPr>
              <w:t>✅ Robust; record lease rate</w:t>
            </w:r>
          </w:p>
        </w:tc>
        <w:tc>
          <w:tcPr>
            <w:tcW w:type="dxa" w:w="1440"/>
          </w:tcPr>
          <w:p>
            <w:r>
              <w:rPr>
                <w:rFonts w:ascii="Calibri" w:hAnsi="Calibri"/>
                <w:sz w:val="22"/>
              </w:rPr>
              <w:t>✅ 19 qtrs double-digit new spreads</w:t>
            </w:r>
          </w:p>
        </w:tc>
        <w:tc>
          <w:tcPr>
            <w:tcW w:type="dxa" w:w="1440"/>
          </w:tcPr>
          <w:p>
            <w:r>
              <w:rPr>
                <w:rFonts w:ascii="Calibri" w:hAnsi="Calibri"/>
                <w:b/>
                <w:color w:val="30A46C"/>
                <w:sz w:val="22"/>
              </w:rPr>
              <w:t>Positive</w:t>
            </w:r>
          </w:p>
        </w:tc>
      </w:tr>
      <w:tr>
        <w:tc>
          <w:tcPr>
            <w:tcW w:type="dxa" w:w="1440"/>
          </w:tcPr>
          <w:p>
            <w:r>
              <w:rPr>
                <w:rFonts w:ascii="Calibri" w:hAnsi="Calibri"/>
                <w:sz w:val="22"/>
              </w:rPr>
              <w:t>Consumer / Tenant Sales</w:t>
            </w:r>
          </w:p>
        </w:tc>
        <w:tc>
          <w:tcPr>
            <w:tcW w:type="dxa" w:w="1440"/>
          </w:tcPr>
          <w:p>
            <w:r>
              <w:rPr>
                <w:rFonts w:ascii="Calibri" w:hAnsi="Calibri"/>
                <w:sz w:val="22"/>
              </w:rPr>
              <w:t>✅ Record $919/sq ft</w:t>
            </w:r>
          </w:p>
        </w:tc>
        <w:tc>
          <w:tcPr>
            <w:tcW w:type="dxa" w:w="1440"/>
          </w:tcPr>
          <w:p>
            <w:r>
              <w:rPr>
                <w:rFonts w:ascii="Calibri" w:hAnsi="Calibri"/>
                <w:sz w:val="22"/>
              </w:rPr>
              <w:t>✅ $487/sq ft, +5% YoY</w:t>
            </w:r>
          </w:p>
        </w:tc>
        <w:tc>
          <w:tcPr>
            <w:tcW w:type="dxa" w:w="1440"/>
          </w:tcPr>
          <w:p>
            <w:r>
              <w:rPr>
                <w:rFonts w:ascii="Calibri" w:hAnsi="Calibri"/>
                <w:sz w:val="22"/>
              </w:rPr>
              <w:t>✅ Widespread growth; traffic up</w:t>
            </w:r>
          </w:p>
        </w:tc>
        <w:tc>
          <w:tcPr>
            <w:tcW w:type="dxa" w:w="1440"/>
          </w:tcPr>
          <w:p>
            <w:r>
              <w:rPr>
                <w:rFonts w:ascii="Calibri" w:hAnsi="Calibri"/>
                <w:sz w:val="22"/>
              </w:rPr>
              <w:t>✅ Traffic +3%; spending resilient</w:t>
            </w:r>
          </w:p>
        </w:tc>
        <w:tc>
          <w:tcPr>
            <w:tcW w:type="dxa" w:w="1440"/>
          </w:tcPr>
          <w:p>
            <w:r>
              <w:rPr>
                <w:rFonts w:ascii="Calibri" w:hAnsi="Calibri"/>
                <w:b/>
                <w:color w:val="30A46C"/>
                <w:sz w:val="22"/>
              </w:rPr>
              <w:t>Positive</w:t>
            </w:r>
          </w:p>
        </w:tc>
      </w:tr>
      <w:tr>
        <w:tc>
          <w:tcPr>
            <w:tcW w:type="dxa" w:w="1440"/>
          </w:tcPr>
          <w:p>
            <w:r>
              <w:rPr>
                <w:rFonts w:ascii="Calibri" w:hAnsi="Calibri"/>
                <w:sz w:val="22"/>
              </w:rPr>
              <w:t>NOI Growth</w:t>
            </w:r>
          </w:p>
        </w:tc>
        <w:tc>
          <w:tcPr>
            <w:tcW w:type="dxa" w:w="1440"/>
          </w:tcPr>
          <w:p>
            <w:r>
              <w:rPr>
                <w:rFonts w:ascii="Calibri" w:hAnsi="Calibri"/>
                <w:sz w:val="22"/>
              </w:rPr>
              <w:t>✅ +3.8% Q2; reiterated ≥3%</w:t>
            </w:r>
          </w:p>
        </w:tc>
        <w:tc>
          <w:tcPr>
            <w:tcW w:type="dxa" w:w="1440"/>
          </w:tcPr>
          <w:p>
            <w:r>
              <w:rPr>
                <w:rFonts w:ascii="Calibri" w:hAnsi="Calibri"/>
                <w:sz w:val="22"/>
              </w:rPr>
              <w:t>✅ +3.5% Q2; raised guidance</w:t>
            </w:r>
          </w:p>
        </w:tc>
        <w:tc>
          <w:tcPr>
            <w:tcW w:type="dxa" w:w="1440"/>
          </w:tcPr>
          <w:p>
            <w:r>
              <w:rPr>
                <w:rFonts w:ascii="Calibri" w:hAnsi="Calibri"/>
                <w:sz w:val="22"/>
              </w:rPr>
              <w:t>✅ +3.8% Q2; raised to mid-6% FY</w:t>
            </w:r>
          </w:p>
        </w:tc>
        <w:tc>
          <w:tcPr>
            <w:tcW w:type="dxa" w:w="1440"/>
          </w:tcPr>
          <w:p>
            <w:r>
              <w:rPr>
                <w:rFonts w:ascii="Calibri" w:hAnsi="Calibri"/>
                <w:sz w:val="22"/>
              </w:rPr>
              <w:t>✅ +3.5% Q2; raised guidance</w:t>
            </w:r>
          </w:p>
        </w:tc>
        <w:tc>
          <w:tcPr>
            <w:tcW w:type="dxa" w:w="1440"/>
          </w:tcPr>
          <w:p>
            <w:r>
              <w:rPr>
                <w:rFonts w:ascii="Calibri" w:hAnsi="Calibri"/>
                <w:b/>
                <w:color w:val="30A46C"/>
                <w:sz w:val="22"/>
              </w:rPr>
              <w:t>Positive</w:t>
            </w:r>
          </w:p>
        </w:tc>
      </w:tr>
      <w:tr>
        <w:tc>
          <w:tcPr>
            <w:tcW w:type="dxa" w:w="1440"/>
          </w:tcPr>
          <w:p>
            <w:r>
              <w:rPr>
                <w:rFonts w:ascii="Calibri" w:hAnsi="Calibri"/>
                <w:sz w:val="22"/>
              </w:rPr>
              <w:t>Tenant Credit / Bankruptcies</w:t>
            </w:r>
          </w:p>
        </w:tc>
        <w:tc>
          <w:tcPr>
            <w:tcW w:type="dxa" w:w="1440"/>
          </w:tcPr>
          <w:p>
            <w:r>
              <w:rPr>
                <w:rFonts w:ascii="Calibri" w:hAnsi="Calibri"/>
                <w:sz w:val="22"/>
              </w:rPr>
              <w:t>N/A mentioned</w:t>
            </w:r>
          </w:p>
        </w:tc>
        <w:tc>
          <w:tcPr>
            <w:tcW w:type="dxa" w:w="1440"/>
          </w:tcPr>
          <w:p>
            <w:r>
              <w:rPr>
                <w:rFonts w:ascii="Calibri" w:hAnsi="Calibri"/>
                <w:sz w:val="22"/>
              </w:rPr>
              <w:t>⚠️ Saks recapture; watch list low</w:t>
            </w:r>
          </w:p>
        </w:tc>
        <w:tc>
          <w:tcPr>
            <w:tcW w:type="dxa" w:w="1440"/>
          </w:tcPr>
          <w:p>
            <w:r>
              <w:rPr>
                <w:rFonts w:ascii="Calibri" w:hAnsi="Calibri"/>
                <w:sz w:val="22"/>
              </w:rPr>
              <w:t>✅ EV operator exit; backfill engaged</w:t>
            </w:r>
          </w:p>
        </w:tc>
        <w:tc>
          <w:tcPr>
            <w:tcW w:type="dxa" w:w="1440"/>
          </w:tcPr>
          <w:p>
            <w:r>
              <w:rPr>
                <w:rFonts w:ascii="Calibri" w:hAnsi="Calibri"/>
                <w:sz w:val="22"/>
              </w:rPr>
              <w:t>✅ Credit loss 57 bps (vs. 89 bps)</w:t>
            </w:r>
          </w:p>
        </w:tc>
        <w:tc>
          <w:tcPr>
            <w:tcW w:type="dxa" w:w="1440"/>
          </w:tcPr>
          <w:p>
            <w:r>
              <w:rPr>
                <w:rFonts w:ascii="Calibri" w:hAnsi="Calibri"/>
                <w:b/>
                <w:color w:val="002FA7"/>
                <w:sz w:val="22"/>
              </w:rPr>
              <w:t>Neutral/Manageable</w:t>
            </w:r>
          </w:p>
        </w:tc>
      </w:tr>
      <w:tr>
        <w:tc>
          <w:tcPr>
            <w:tcW w:type="dxa" w:w="1440"/>
          </w:tcPr>
          <w:p>
            <w:r>
              <w:rPr>
                <w:rFonts w:ascii="Calibri" w:hAnsi="Calibri"/>
                <w:sz w:val="22"/>
              </w:rPr>
              <w:t>Guidance Direction</w:t>
            </w:r>
          </w:p>
        </w:tc>
        <w:tc>
          <w:tcPr>
            <w:tcW w:type="dxa" w:w="1440"/>
          </w:tcPr>
          <w:p>
            <w:r>
              <w:rPr>
                <w:rFonts w:ascii="Calibri" w:hAnsi="Calibri"/>
                <w:sz w:val="22"/>
              </w:rPr>
              <w:t>✅ Reiterated ≥3%</w:t>
            </w:r>
          </w:p>
        </w:tc>
        <w:tc>
          <w:tcPr>
            <w:tcW w:type="dxa" w:w="1440"/>
          </w:tcPr>
          <w:p>
            <w:r>
              <w:rPr>
                <w:rFonts w:ascii="Calibri" w:hAnsi="Calibri"/>
                <w:sz w:val="22"/>
              </w:rPr>
              <w:t>✅ Raised FFO &amp; NOI guidance</w:t>
            </w:r>
          </w:p>
        </w:tc>
        <w:tc>
          <w:tcPr>
            <w:tcW w:type="dxa" w:w="1440"/>
          </w:tcPr>
          <w:p>
            <w:r>
              <w:rPr>
                <w:rFonts w:ascii="Calibri" w:hAnsi="Calibri"/>
                <w:sz w:val="22"/>
              </w:rPr>
              <w:t>✅ Raised FY NOI &amp; EPS guidance</w:t>
            </w:r>
          </w:p>
        </w:tc>
        <w:tc>
          <w:tcPr>
            <w:tcW w:type="dxa" w:w="1440"/>
          </w:tcPr>
          <w:p>
            <w:r>
              <w:rPr>
                <w:rFonts w:ascii="Calibri" w:hAnsi="Calibri"/>
                <w:sz w:val="22"/>
              </w:rPr>
              <w:t>✅ Raised FFO &amp; NOI guidance</w:t>
            </w:r>
          </w:p>
        </w:tc>
        <w:tc>
          <w:tcPr>
            <w:tcW w:type="dxa" w:w="1440"/>
          </w:tcPr>
          <w:p>
            <w:r>
              <w:rPr>
                <w:rFonts w:ascii="Calibri" w:hAnsi="Calibri"/>
                <w:b/>
                <w:color w:val="30A46C"/>
                <w:sz w:val="22"/>
              </w:rPr>
              <w:t>Positive</w:t>
            </w:r>
          </w:p>
        </w:tc>
      </w:tr>
      <w:tr>
        <w:tc>
          <w:tcPr>
            <w:tcW w:type="dxa" w:w="1440"/>
          </w:tcPr>
          <w:p>
            <w:r>
              <w:rPr>
                <w:rFonts w:ascii="Calibri" w:hAnsi="Calibri"/>
                <w:sz w:val="22"/>
              </w:rPr>
              <w:t>Tourist / Outlet Traffic</w:t>
            </w:r>
          </w:p>
        </w:tc>
        <w:tc>
          <w:tcPr>
            <w:tcW w:type="dxa" w:w="1440"/>
          </w:tcPr>
          <w:p>
            <w:r>
              <w:rPr>
                <w:rFonts w:ascii="Calibri" w:hAnsi="Calibri"/>
                <w:sz w:val="22"/>
              </w:rPr>
              <w:t>N/A (enclosed malls)</w:t>
            </w:r>
          </w:p>
        </w:tc>
        <w:tc>
          <w:tcPr>
            <w:tcW w:type="dxa" w:w="1440"/>
          </w:tcPr>
          <w:p>
            <w:r>
              <w:rPr>
                <w:rFonts w:ascii="Calibri" w:hAnsi="Calibri"/>
                <w:sz w:val="22"/>
              </w:rPr>
              <w:t>✅ Domestic travel offsetting intl. softness</w:t>
            </w:r>
          </w:p>
        </w:tc>
        <w:tc>
          <w:tcPr>
            <w:tcW w:type="dxa" w:w="1440"/>
          </w:tcPr>
          <w:p>
            <w:r>
              <w:rPr>
                <w:rFonts w:ascii="Calibri" w:hAnsi="Calibri"/>
                <w:sz w:val="22"/>
              </w:rPr>
              <w:t>N/A (open-air)</w:t>
            </w:r>
          </w:p>
        </w:tc>
        <w:tc>
          <w:tcPr>
            <w:tcW w:type="dxa" w:w="1440"/>
          </w:tcPr>
          <w:p>
            <w:r>
              <w:rPr>
                <w:rFonts w:ascii="Calibri" w:hAnsi="Calibri"/>
                <w:sz w:val="22"/>
              </w:rPr>
              <w:t>N/A (open-air)</w:t>
            </w:r>
          </w:p>
        </w:tc>
        <w:tc>
          <w:tcPr>
            <w:tcW w:type="dxa" w:w="1440"/>
          </w:tcPr>
          <w:p>
            <w:r>
              <w:rPr>
                <w:rFonts w:ascii="Calibri" w:hAnsi="Calibri"/>
                <w:b/>
                <w:color w:val="002FA7"/>
                <w:sz w:val="22"/>
              </w:rPr>
              <w:t>Cautiously 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formal completion of the Taubman corporate integration and the launch of three active redevelopment projects — this shifts the Taubman story from integration risk to value creation, a meaningful positive for the Q2 narrative. No material negative developments have emerged since the Q1 print.</w:t>
      </w:r>
    </w:p>
    <w:p>
      <w:pPr>
        <w:pStyle w:val="ListBullet"/>
        <w:ind w:left="360" w:hanging="360"/>
      </w:pPr>
      <w:r>
        <w:rPr>
          <w:rFonts w:ascii="Calibri" w:hAnsi="Calibri"/>
          <w:color w:val="525866"/>
          <w:sz w:val="22"/>
        </w:rPr>
        <w:t xml:space="preserve">May 11, 2026 — Q1 2026 Earnings: Guidance raised; dividend increased 7.1% YoY to $2.25/share. </w:t>
      </w:r>
      <w:r>
        <w:rPr>
          <w:rFonts w:ascii="Calibri" w:hAnsi="Calibri"/>
          <w:color w:val="525866"/>
          <w:sz w:val="22"/>
        </w:rPr>
        <w:t xml:space="preserve">SPG raised the low end of FY2026 Real Estate FFO guidance to $13.10 (from $13.00), declared Q2 dividend of $2.25/share (+7.1% YoY), and reported Real Estate FFO of $3.17/share (+7.5% YoY), beating consensus. Domestic NOI grew 6.7% YoY, well above the “at least 3%” guidance floor. Implication: </w:t>
      </w:r>
      <w:r>
        <w:rPr>
          <w:rFonts w:ascii="Calibri" w:hAnsi="Calibri"/>
          <w:b/>
          <w:color w:val="525866"/>
          <w:sz w:val="22"/>
        </w:rPr>
        <w:t>Sets a high operational bar for Q2 but also demonstrates management’s confidence in the full-year outlook.</w:t>
      </w:r>
    </w:p>
    <w:p>
      <w:pPr>
        <w:pStyle w:val="ListBullet"/>
        <w:ind w:left="360" w:hanging="360"/>
      </w:pPr>
      <w:r>
        <w:rPr>
          <w:rFonts w:ascii="Calibri" w:hAnsi="Calibri"/>
          <w:color w:val="525866"/>
          <w:sz w:val="22"/>
        </w:rPr>
        <w:t xml:space="preserve">May 11, 2026 — Taubman Corporate Integration Fully Completed. </w:t>
      </w:r>
      <w:r>
        <w:rPr>
          <w:rFonts w:ascii="Calibri" w:hAnsi="Calibri"/>
          <w:color w:val="525866"/>
          <w:sz w:val="22"/>
        </w:rPr>
        <w:t xml:space="preserve">Management confirmed the Taubman corporate integration was completed as of end of April 2026. Three redevelopment projects (Cherry Creek, Green Hills, International Plaza) are actively starting. Management expressed greater excitement about the assets post-integration than at acquisition close. Implication: </w:t>
      </w:r>
      <w:r>
        <w:rPr>
          <w:rFonts w:ascii="Calibri" w:hAnsi="Calibri"/>
          <w:b/>
          <w:color w:val="525866"/>
          <w:sz w:val="22"/>
        </w:rPr>
        <w:t>Removes integration overhang; focus shifts to asset-level value creation with a ~$1B active pipeline at ~9% blended yield.</w:t>
      </w:r>
    </w:p>
    <w:p>
      <w:pPr>
        <w:pStyle w:val="ListBullet"/>
        <w:ind w:left="360" w:hanging="360"/>
      </w:pPr>
      <w:r>
        <w:rPr>
          <w:rFonts w:ascii="Calibri" w:hAnsi="Calibri"/>
          <w:color w:val="525866"/>
          <w:sz w:val="22"/>
        </w:rPr>
        <w:t xml:space="preserve">May 11, 2026 — Tariff Impact Minimal; Only 4–5 Lease Fallouts Since Liberation Day. </w:t>
      </w:r>
      <w:r>
        <w:rPr>
          <w:rFonts w:ascii="Calibri" w:hAnsi="Calibri"/>
          <w:color w:val="525866"/>
          <w:sz w:val="22"/>
        </w:rPr>
        <w:t xml:space="preserve">Management reported that only 4–5 leases fell out due to tariffs since Liberation Day, with no additional fallout and the pipeline expanding significantly YoY. Retailers are proactively securing multi-year renewals. Implication: </w:t>
      </w:r>
      <w:r>
        <w:rPr>
          <w:rFonts w:ascii="Calibri" w:hAnsi="Calibri"/>
          <w:b/>
          <w:color w:val="525866"/>
          <w:sz w:val="22"/>
        </w:rPr>
        <w:t>The tariff risk that dominated Q4 2025 earnings has largely not materialized — a significant positive for the Q2 setup.</w:t>
      </w:r>
    </w:p>
    <w:p>
      <w:pPr>
        <w:pStyle w:val="ListBullet"/>
        <w:ind w:left="360" w:hanging="360"/>
      </w:pPr>
      <w:r>
        <w:rPr>
          <w:rFonts w:ascii="Calibri" w:hAnsi="Calibri"/>
          <w:color w:val="525866"/>
          <w:sz w:val="22"/>
        </w:rPr>
        <w:t xml:space="preserve">May 11, 2026 — Tenant Bankruptcies (Saks Global, Eddie Bauer) Acknowledged but Manageable. </w:t>
      </w:r>
      <w:r>
        <w:rPr>
          <w:rFonts w:ascii="Calibri" w:hAnsi="Calibri"/>
          <w:color w:val="525866"/>
          <w:sz w:val="22"/>
        </w:rPr>
        <w:t xml:space="preserve">Management noted Saks Global and Eddie Bauer bankruptcies surfaced after the budget was set but maintained the guidance range, signaling confidence in re-leasing ability. Implication: </w:t>
      </w:r>
      <w:r>
        <w:rPr>
          <w:rFonts w:ascii="Calibri" w:hAnsi="Calibri"/>
          <w:b/>
          <w:color w:val="525866"/>
          <w:sz w:val="22"/>
        </w:rPr>
        <w:t>Near-term occupancy drag is possible in Q2; watch for any update on re-leasing progress and whether these are included in the SNO pipeline.</w:t>
      </w:r>
    </w:p>
    <w:p>
      <w:pPr>
        <w:pStyle w:val="ListBullet"/>
        <w:ind w:left="360" w:hanging="360"/>
      </w:pPr>
      <w:r>
        <w:rPr>
          <w:rFonts w:ascii="Calibri" w:hAnsi="Calibri"/>
          <w:color w:val="525866"/>
          <w:sz w:val="22"/>
        </w:rPr>
        <w:t xml:space="preserve">May 15, 2026 — CEO Eli Simon Awarded $2.5M Equity Compensation (8-K/A). </w:t>
      </w:r>
      <w:r>
        <w:rPr>
          <w:rFonts w:ascii="Calibri" w:hAnsi="Calibri"/>
          <w:color w:val="525866"/>
          <w:sz w:val="22"/>
        </w:rPr>
        <w:t xml:space="preserve">Simon Property Group filed an 8-K/A disclosing $2.5M equity compensation for new CEO Eli Simon, who assumed the role following David Simon’s passing. Martin Cicco was appointed to the Compensation Committee. Implication: </w:t>
      </w:r>
      <w:r>
        <w:rPr>
          <w:rFonts w:ascii="Calibri" w:hAnsi="Calibri"/>
          <w:b/>
          <w:color w:val="525866"/>
          <w:sz w:val="22"/>
        </w:rPr>
        <w:t>Leadership transition is proceeding smoothly; compensation structure signals board confidence in Eli Simon’s tenure.</w:t>
      </w:r>
    </w:p>
    <w:p>
      <w:pPr>
        <w:pStyle w:val="ListBullet"/>
        <w:ind w:left="360" w:hanging="360"/>
      </w:pPr>
      <w:r>
        <w:rPr>
          <w:rFonts w:ascii="Calibri" w:hAnsi="Calibri"/>
          <w:color w:val="525866"/>
          <w:sz w:val="22"/>
        </w:rPr>
        <w:t xml:space="preserve">May 15, 2026 — Annual Shareholder Meeting: Directors Elected, Executive Pay Approved, Auditors Ratified (8-K). </w:t>
      </w:r>
      <w:r>
        <w:rPr>
          <w:rFonts w:ascii="Calibri" w:hAnsi="Calibri"/>
          <w:color w:val="525866"/>
          <w:sz w:val="22"/>
        </w:rPr>
        <w:t xml:space="preserve">Routine annual meeting outcomes with no contested votes or notable shareholder activism. Implication: </w:t>
      </w:r>
      <w:r>
        <w:rPr>
          <w:rFonts w:ascii="Calibri" w:hAnsi="Calibri"/>
          <w:b/>
          <w:color w:val="525866"/>
          <w:sz w:val="22"/>
        </w:rPr>
        <w:t>No governance overhang heading into Q2 earnings.</w:t>
      </w:r>
    </w:p>
    <w:p>
      <w:pPr>
        <w:pStyle w:val="ListBullet"/>
        <w:ind w:left="360" w:hanging="360"/>
      </w:pPr>
      <w:r>
        <w:rPr>
          <w:rFonts w:ascii="Calibri" w:hAnsi="Calibri"/>
          <w:color w:val="525866"/>
          <w:sz w:val="22"/>
        </w:rPr>
        <w:t xml:space="preserve">July 1, 2026 — Q2 2026 Earnings Date Announced. </w:t>
      </w:r>
      <w:r>
        <w:rPr>
          <w:rFonts w:ascii="Calibri" w:hAnsi="Calibri"/>
          <w:color w:val="525866"/>
          <w:sz w:val="22"/>
        </w:rPr>
        <w:t xml:space="preserve">SPG announced the date for its Q2 2026 earnings release and conference call. Implication: </w:t>
      </w:r>
      <w:r>
        <w:rPr>
          <w:rFonts w:ascii="Calibri" w:hAnsi="Calibri"/>
          <w:b/>
          <w:color w:val="525866"/>
          <w:sz w:val="22"/>
        </w:rPr>
        <w:t>Confirms the reporting timeline; no pre-announcement or guidance update was issued alongside, suggesting no material negative developments to disclose.</w:t>
      </w:r>
    </w:p>
    <w:p>
      <w:pPr>
        <w:pStyle w:val="ListBullet"/>
        <w:ind w:left="360" w:hanging="360"/>
      </w:pPr>
      <w:r>
        <w:rPr>
          <w:rFonts w:ascii="Calibri" w:hAnsi="Calibri"/>
          <w:color w:val="525866"/>
          <w:sz w:val="22"/>
        </w:rPr>
        <w:t xml:space="preserve">Ongoing — Peer Guidance Raises (MAC, SKT, REG, KIM all raised FY2026 guidance in Q2 earnings). </w:t>
      </w:r>
      <w:r>
        <w:rPr>
          <w:rFonts w:ascii="Calibri" w:hAnsi="Calibri"/>
          <w:color w:val="525866"/>
          <w:sz w:val="22"/>
        </w:rPr>
        <w:t xml:space="preserve">All four major retail REIT peers reporting Q2 2026 results raised their full-year guidance, citing strong leasing demand, resilient consumers, and improving credit trends. Implication: </w:t>
      </w:r>
      <w:r>
        <w:rPr>
          <w:rFonts w:ascii="Calibri" w:hAnsi="Calibri"/>
          <w:b/>
          <w:color w:val="525866"/>
          <w:sz w:val="22"/>
        </w:rPr>
        <w:t>Sector-wide tailwind supports SPG’s own guidance raise potential at Q2 earnings.</w:t>
      </w:r>
    </w:p>
    <w:p>
      <w:pPr>
        <w:pStyle w:val="ListBullet"/>
        <w:ind w:left="360" w:hanging="360"/>
      </w:pPr>
      <w:r>
        <w:rPr>
          <w:rFonts w:ascii="Calibri" w:hAnsi="Calibri"/>
          <w:color w:val="525866"/>
          <w:sz w:val="22"/>
        </w:rPr>
        <w:t xml:space="preserve">Ongoing — No Analyst Rating Changes Since Q1 Earnings. </w:t>
      </w:r>
      <w:r>
        <w:rPr>
          <w:rFonts w:ascii="Calibri" w:hAnsi="Calibri"/>
          <w:color w:val="525866"/>
          <w:sz w:val="22"/>
        </w:rPr>
        <w:t xml:space="preserve">No upgrades or downgrades were identified in the post-Q1 period. Implication: </w:t>
      </w:r>
      <w:r>
        <w:rPr>
          <w:rFonts w:ascii="Calibri" w:hAnsi="Calibri"/>
          <w:b/>
          <w:color w:val="525866"/>
          <w:sz w:val="22"/>
        </w:rPr>
        <w:t>Sell-side sentiment is stable; no incremental positive or negative catalyst from the analyst community.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Q1 earnings consists of routine equity award grants (Form 4 code “A”) and director dividend reinvestment purchases (Form 4 code “P”) — there are no open-market discretionary sales, no 10b5-1 plan initiations, and no unusual transaction sizes. The absence of any selling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Simon Eli</w:t>
            </w:r>
          </w:p>
        </w:tc>
        <w:tc>
          <w:tcPr>
            <w:tcW w:type="dxa" w:w="1440"/>
          </w:tcPr>
          <w:p>
            <w:r>
              <w:rPr>
                <w:rFonts w:ascii="Calibri" w:hAnsi="Calibri"/>
                <w:sz w:val="22"/>
              </w:rPr>
              <w:t>CEO / President / COO</w:t>
            </w:r>
          </w:p>
        </w:tc>
        <w:tc>
          <w:tcPr>
            <w:tcW w:type="dxa" w:w="1440"/>
          </w:tcPr>
          <w:p>
            <w:r>
              <w:rPr>
                <w:rFonts w:ascii="Calibri" w:hAnsi="Calibri"/>
                <w:sz w:val="22"/>
              </w:rPr>
              <w:t>Equity Award (RSUs)</w:t>
            </w:r>
          </w:p>
        </w:tc>
        <w:tc>
          <w:tcPr>
            <w:tcW w:type="dxa" w:w="1440"/>
          </w:tcPr>
          <w:p>
            <w:r>
              <w:rPr>
                <w:rFonts w:ascii="Calibri" w:hAnsi="Calibri"/>
                <w:sz w:val="22"/>
              </w:rPr>
              <w:t>3,117 RSUs</w:t>
            </w:r>
          </w:p>
        </w:tc>
        <w:tc>
          <w:tcPr>
            <w:tcW w:type="dxa" w:w="1440"/>
          </w:tcPr>
          <w:p>
            <w:r>
              <w:rPr>
                <w:rFonts w:ascii="Calibri" w:hAnsi="Calibri"/>
                <w:sz w:val="22"/>
              </w:rPr>
              <w:t>May 13, 2026</w:t>
            </w:r>
          </w:p>
        </w:tc>
        <w:tc>
          <w:tcPr>
            <w:tcW w:type="dxa" w:w="1440"/>
          </w:tcPr>
          <w:p>
            <w:r>
              <w:rPr>
                <w:rFonts w:ascii="Calibri" w:hAnsi="Calibri"/>
                <w:sz w:val="22"/>
              </w:rPr>
              <w:t>Restricted Stock Unit grant; non-discretionary compensation award per 8-K/A ($2.5M equity grant disclosed May 15)</w:t>
            </w:r>
          </w:p>
        </w:tc>
      </w:tr>
      <w:tr>
        <w:tc>
          <w:tcPr>
            <w:tcW w:type="dxa" w:w="1440"/>
          </w:tcPr>
          <w:p>
            <w:r>
              <w:rPr>
                <w:rFonts w:ascii="Calibri" w:hAnsi="Calibri"/>
                <w:sz w:val="22"/>
              </w:rPr>
              <w:t>Aeppel Glyn</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1,122 (May) + 243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GLASSCOCK LARRY C</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1,233 (May) + 397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LEIBOWITZ REUBEN S</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1,159 (May) + 508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 largest DRIP buyer by shares</w:t>
            </w:r>
          </w:p>
        </w:tc>
      </w:tr>
      <w:tr>
        <w:tc>
          <w:tcPr>
            <w:tcW w:type="dxa" w:w="1440"/>
          </w:tcPr>
          <w:p>
            <w:r>
              <w:rPr>
                <w:rFonts w:ascii="Calibri" w:hAnsi="Calibri"/>
                <w:sz w:val="22"/>
              </w:rPr>
              <w:t>Smith Daniel C.</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1,073 (May) + 372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SELIG STEFAN M</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1,109 (May) + 220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STEWART MARTA R</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1,122 (May) + 182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Roe Peggy</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1,073 (May) + 89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Jones Nina P</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1,073 (May) + 43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LEWIS RANDALL J</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1,073 (May) + 62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RODKIN GARY M</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1,073 (May) + 256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w:t>
            </w:r>
          </w:p>
        </w:tc>
      </w:tr>
      <w:tr>
        <w:tc>
          <w:tcPr>
            <w:tcW w:type="dxa" w:w="1440"/>
          </w:tcPr>
          <w:p>
            <w:r>
              <w:rPr>
                <w:rFonts w:ascii="Calibri" w:hAnsi="Calibri"/>
                <w:sz w:val="22"/>
              </w:rPr>
              <w:t>Cicco Martin J</w:t>
            </w:r>
          </w:p>
        </w:tc>
        <w:tc>
          <w:tcPr>
            <w:tcW w:type="dxa" w:w="1440"/>
          </w:tcPr>
          <w:p>
            <w:r>
              <w:rPr>
                <w:rFonts w:ascii="Calibri" w:hAnsi="Calibri"/>
                <w:sz w:val="22"/>
              </w:rPr>
              <w:t>Director</w:t>
            </w:r>
          </w:p>
        </w:tc>
        <w:tc>
          <w:tcPr>
            <w:tcW w:type="dxa" w:w="1440"/>
          </w:tcPr>
          <w:p>
            <w:r>
              <w:rPr>
                <w:rFonts w:ascii="Calibri" w:hAnsi="Calibri"/>
                <w:sz w:val="22"/>
              </w:rPr>
              <w:t>Equity Award / DRIP Purchase</w:t>
            </w:r>
          </w:p>
        </w:tc>
        <w:tc>
          <w:tcPr>
            <w:tcW w:type="dxa" w:w="1440"/>
          </w:tcPr>
          <w:p>
            <w:r>
              <w:rPr>
                <w:rFonts w:ascii="Calibri" w:hAnsi="Calibri"/>
                <w:sz w:val="22"/>
              </w:rPr>
              <w:t>1,073 (May) + 15 (Jun)</w:t>
            </w:r>
          </w:p>
        </w:tc>
        <w:tc>
          <w:tcPr>
            <w:tcW w:type="dxa" w:w="1440"/>
          </w:tcPr>
          <w:p>
            <w:r>
              <w:rPr>
                <w:rFonts w:ascii="Calibri" w:hAnsi="Calibri"/>
                <w:sz w:val="22"/>
              </w:rPr>
              <w:t>May 13 / Jun 30, 2026</w:t>
            </w:r>
          </w:p>
        </w:tc>
        <w:tc>
          <w:tcPr>
            <w:tcW w:type="dxa" w:w="1440"/>
          </w:tcPr>
          <w:p>
            <w:r>
              <w:rPr>
                <w:rFonts w:ascii="Calibri" w:hAnsi="Calibri"/>
                <w:sz w:val="22"/>
              </w:rPr>
              <w:t>May: annual director equity award; June: dividend reinvestment purchase (code P); newly appointed to Compensation Committee</w:t>
            </w:r>
          </w:p>
        </w:tc>
      </w:tr>
    </w:tbl>
    <w:p>
      <w:r>
        <w:rPr>
          <w:rFonts w:ascii="Calibri" w:hAnsi="Calibri"/>
          <w:i/>
          <w:color w:val="525866"/>
          <w:sz w:val="22"/>
        </w:rPr>
        <w:t xml:space="preserve">Source: SEC Form 4 filings. </w:t>
      </w:r>
      <w:r>
        <w:rPr>
          <w:rFonts w:ascii="Calibri" w:hAnsi="Calibri"/>
          <w:i/>
          <w:color w:val="525866"/>
          <w:sz w:val="22"/>
        </w:rPr>
        <w:t>All transactions are non-discretionary: May 13 transactions are annual director equity awards (Form 4 code “A” — grant/award, not open-market purchase); June 30 transactions are dividend reinvestment plan (DRIP) purchases (Form 4 code “P” — open-market purchase via DRIP). No open-market discretionary sales, no 10b5-1 plan initiations, and no Form 144 filings were identified in the period. The CEO’s RSU grant is consistent with the $2.5M equity compensation package disclosed in the May 15, 2026 8-K/A.</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consensus estimates are sourced from Visible Alpha. Peer commentary is sourced from publicly available Q2 2026 earnings call transcripts. Insider transaction data is sourced from SEC Form 4 filings. Past performance is not indicative of future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