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Simon Property Group (SPG)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Simon Property Group, Inc.</w:t>
            </w:r>
          </w:p>
        </w:tc>
      </w:tr>
      <w:tr>
        <w:tc>
          <w:tcPr>
            <w:tcW w:type="dxa" w:w="4320"/>
          </w:tcPr>
          <w:p>
            <w:r>
              <w:rPr>
                <w:rFonts w:ascii="Calibri" w:hAnsi="Calibri"/>
                <w:b/>
                <w:sz w:val="22"/>
              </w:rPr>
              <w:t>Ticker</w:t>
            </w:r>
          </w:p>
        </w:tc>
        <w:tc>
          <w:tcPr>
            <w:tcW w:type="dxa" w:w="4320"/>
          </w:tcPr>
          <w:p>
            <w:r>
              <w:rPr>
                <w:rFonts w:ascii="Calibri" w:hAnsi="Calibri"/>
                <w:sz w:val="22"/>
              </w:rPr>
              <w:t>SPG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10, 2026 — After Market Close; Conference Call 5:00 PM ET</w:t>
            </w:r>
          </w:p>
        </w:tc>
      </w:tr>
      <w:tr>
        <w:tc>
          <w:tcPr>
            <w:tcW w:type="dxa" w:w="4320"/>
          </w:tcPr>
          <w:p>
            <w:r>
              <w:rPr>
                <w:rFonts w:ascii="Calibri" w:hAnsi="Calibri"/>
                <w:b/>
                <w:sz w:val="22"/>
              </w:rPr>
              <w:t>Prepared</w:t>
            </w:r>
          </w:p>
        </w:tc>
        <w:tc>
          <w:tcPr>
            <w:tcW w:type="dxa" w:w="4320"/>
          </w:tcPr>
          <w:p>
            <w:r>
              <w:rPr>
                <w:rFonts w:ascii="Calibri" w:hAnsi="Calibri"/>
                <w:sz w:val="22"/>
              </w:rPr>
              <w:t>August 10, 2026</w:t>
            </w:r>
          </w:p>
        </w:tc>
      </w:tr>
      <w:tr>
        <w:tc>
          <w:tcPr>
            <w:tcW w:type="dxa" w:w="4320"/>
          </w:tcPr>
          <w:p>
            <w:r>
              <w:rPr>
                <w:rFonts w:ascii="Calibri" w:hAnsi="Calibri"/>
                <w:b/>
                <w:sz w:val="22"/>
              </w:rPr>
              <w:t>Sector / Sub-Sector</w:t>
            </w:r>
          </w:p>
        </w:tc>
        <w:tc>
          <w:tcPr>
            <w:tcW w:type="dxa" w:w="4320"/>
          </w:tcPr>
          <w:p>
            <w:r>
              <w:rPr>
                <w:rFonts w:ascii="Calibri" w:hAnsi="Calibri"/>
                <w:sz w:val="22"/>
              </w:rPr>
              <w:t>Real Estate / REIT — Retail (Malls &amp; Premium Outlets)</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favors a beat — consensus Real Estate FFO estimates have drifted modestly lower since Q1 earnings, creating a low bar against a backdrop of accelerating leasing momentum, strong consumer spending, and a Taubman integration that is delivering ahead of expectations; the biggest swing factor is whether domestic same-store NOI growth can sustain the 6%+ pace seen in Q1 or reverts toward the “at least 3%” guidance floor.</w:t>
      </w:r>
    </w:p>
    <w:p>
      <w:r>
        <w:rPr>
          <w:rFonts w:ascii="Calibri" w:hAnsi="Calibri"/>
          <w:color w:val="525866"/>
          <w:sz w:val="22"/>
        </w:rPr>
        <w:t xml:space="preserve">Heading into Q2 2026, SPG’s operational fundamentals remain among the strongest in the retail REIT sector. </w:t>
      </w:r>
      <w:r>
        <w:rPr>
          <w:rFonts w:ascii="Calibri" w:hAnsi="Calibri"/>
          <w:b/>
          <w:color w:val="525866"/>
          <w:sz w:val="22"/>
        </w:rPr>
        <w:t>Consensus Real Estate FFO of ~$3.23/share</w:t>
      </w:r>
      <w:r>
        <w:rPr>
          <w:rFonts w:ascii="Calibri" w:hAnsi="Calibri"/>
          <w:color w:val="525866"/>
          <w:sz w:val="22"/>
        </w:rPr>
        <w:t xml:space="preserve"> implies roughly 5% year-over-year growth, a bar that looks achievable given Q1’s 7.5% FFO-per-share growth and management’s subsequent guidance raise to $13.10–$13.25 for the full year. Leasing demand is described as “broad-based and significantly above prior year” across all platforms, and the Taubman corporate integration — completed in April 2026 — is now contributing incremental NOI from Cherry Creek, Green Hills, and International Plaza redevelopments. Estimate revisions have been mildly negative since the Q1 print (Q2 consensus slipped from ~$3.21 to ~$3.23 on a rounded basis, with the FY figure essentially flat), suggesting the Street has not aggressively raised the bar despite the strong Q1 beat, which is a constructive setup. The stock has rallied ~11% since the May 11 earnings date, outperforming XRT (+11%) and SPY (+5%), with multiple expansion accounting for the bulk of the 12-month +33% return — leaving valuation full at ~17x NTM EV/EBITDA and limiting room for disappointment. The key wildcard is </w:t>
      </w:r>
      <w:r>
        <w:rPr>
          <w:rFonts w:ascii="Calibri" w:hAnsi="Calibri"/>
          <w:b/>
          <w:color w:val="525866"/>
          <w:sz w:val="22"/>
        </w:rPr>
        <w:t>international tourist traffic at Premium Outlets</w:t>
      </w:r>
      <w:r>
        <w:rPr>
          <w:rFonts w:ascii="Calibri" w:hAnsi="Calibri"/>
          <w:color w:val="525866"/>
          <w:sz w:val="22"/>
        </w:rPr>
        <w:t>: management flagged softer European and Canadian visitor counts at Woodbury in Q1, and any further deterioration — or a positive surprise from World Cup-related tourism — could meaningfully swing outlet NOI and the stock reaction.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modest bar on Real Estate FFO/share (~$3.23 vs. $3.06 prior year, +5.5% YoY) while same-store NOI growth consensus of ~5.1% sits well above the “at least 3%” guidance floor — making NOI the bigger swing factor heading into the print.</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Real Estate FFO per Share ($)</w:t>
            </w:r>
          </w:p>
        </w:tc>
        <w:tc>
          <w:tcPr>
            <w:tcW w:type="dxa" w:w="1234"/>
          </w:tcPr>
          <w:p>
            <w:r>
              <w:rPr>
                <w:rFonts w:ascii="Calibri" w:hAnsi="Calibri"/>
                <w:sz w:val="22"/>
              </w:rPr>
              <w:t>$3.17</w:t>
            </w:r>
          </w:p>
        </w:tc>
        <w:tc>
          <w:tcPr>
            <w:tcW w:type="dxa" w:w="1234"/>
          </w:tcPr>
          <w:p>
            <w:r>
              <w:rPr>
                <w:rFonts w:ascii="Calibri" w:hAnsi="Calibri"/>
                <w:sz w:val="22"/>
              </w:rPr>
              <w:t>$3.06</w:t>
            </w:r>
          </w:p>
        </w:tc>
        <w:tc>
          <w:tcPr>
            <w:tcW w:type="dxa" w:w="1234"/>
          </w:tcPr>
          <w:p>
            <w:r>
              <w:rPr>
                <w:rFonts w:ascii="Calibri" w:hAnsi="Calibri"/>
                <w:sz w:val="22"/>
              </w:rPr>
              <w:t>$3.23</w:t>
            </w:r>
          </w:p>
        </w:tc>
        <w:tc>
          <w:tcPr>
            <w:tcW w:type="dxa" w:w="1234"/>
          </w:tcPr>
          <w:p>
            <w:r>
              <w:rPr>
                <w:rFonts w:ascii="Calibri" w:hAnsi="Calibri"/>
                <w:sz w:val="22"/>
              </w:rPr>
              <w:t>+5.5%</w:t>
            </w:r>
          </w:p>
        </w:tc>
        <w:tc>
          <w:tcPr>
            <w:tcW w:type="dxa" w:w="1234"/>
          </w:tcPr>
          <w:p>
            <w:r>
              <w:rPr>
                <w:rFonts w:ascii="Calibri" w:hAnsi="Calibri"/>
                <w:sz w:val="22"/>
              </w:rPr>
              <w:t>FY 2026: $13.10–$13.25 (midpoint $13.175)</w:t>
            </w:r>
          </w:p>
        </w:tc>
        <w:tc>
          <w:tcPr>
            <w:tcW w:type="dxa" w:w="1234"/>
          </w:tcPr>
          <w:p>
            <w:r>
              <w:rPr>
                <w:rFonts w:ascii="Calibri" w:hAnsi="Calibri"/>
                <w:sz w:val="22"/>
              </w:rPr>
              <w:t>FY consensus $13.27 vs. midpoint: +0.7%</w:t>
            </w:r>
          </w:p>
        </w:tc>
      </w:tr>
      <w:tr>
        <w:tc>
          <w:tcPr>
            <w:tcW w:type="dxa" w:w="1234"/>
          </w:tcPr>
          <w:p>
            <w:r>
              <w:rPr>
                <w:rFonts w:ascii="Calibri" w:hAnsi="Calibri"/>
                <w:sz w:val="22"/>
              </w:rPr>
              <w:t>Same-Store NOI Growth YoY (%)</w:t>
            </w:r>
          </w:p>
        </w:tc>
        <w:tc>
          <w:tcPr>
            <w:tcW w:type="dxa" w:w="1234"/>
          </w:tcPr>
          <w:p>
            <w:r>
              <w:rPr>
                <w:rFonts w:ascii="Calibri" w:hAnsi="Calibri"/>
                <w:sz w:val="22"/>
              </w:rPr>
              <w:t>6.7%</w:t>
            </w:r>
          </w:p>
        </w:tc>
        <w:tc>
          <w:tcPr>
            <w:tcW w:type="dxa" w:w="1234"/>
          </w:tcPr>
          <w:p>
            <w:r>
              <w:rPr>
                <w:rFonts w:ascii="Calibri" w:hAnsi="Calibri"/>
                <w:sz w:val="22"/>
              </w:rPr>
              <w:t>4.7%</w:t>
            </w:r>
          </w:p>
        </w:tc>
        <w:tc>
          <w:tcPr>
            <w:tcW w:type="dxa" w:w="1234"/>
          </w:tcPr>
          <w:p>
            <w:r>
              <w:rPr>
                <w:rFonts w:ascii="Calibri" w:hAnsi="Calibri"/>
                <w:sz w:val="22"/>
              </w:rPr>
              <w:t>~5.1%</w:t>
            </w:r>
          </w:p>
        </w:tc>
        <w:tc>
          <w:tcPr>
            <w:tcW w:type="dxa" w:w="1234"/>
          </w:tcPr>
          <w:p>
            <w:r>
              <w:rPr>
                <w:rFonts w:ascii="Calibri" w:hAnsi="Calibri"/>
                <w:sz w:val="22"/>
              </w:rPr>
              <w:t>+40 bps vs. PY</w:t>
            </w:r>
          </w:p>
        </w:tc>
        <w:tc>
          <w:tcPr>
            <w:tcW w:type="dxa" w:w="1234"/>
          </w:tcPr>
          <w:p>
            <w:r>
              <w:rPr>
                <w:rFonts w:ascii="Calibri" w:hAnsi="Calibri"/>
                <w:sz w:val="22"/>
              </w:rPr>
              <w:t>“At least 3%” for FY 2026</w:t>
            </w:r>
          </w:p>
        </w:tc>
        <w:tc>
          <w:tcPr>
            <w:tcW w:type="dxa" w:w="1234"/>
          </w:tcPr>
          <w:p>
            <w:r>
              <w:rPr>
                <w:rFonts w:ascii="Calibri" w:hAnsi="Calibri"/>
                <w:sz w:val="22"/>
              </w:rPr>
              <w:t>Consensus well above floor; ~+210 bps cushion</w:t>
            </w:r>
          </w:p>
        </w:tc>
      </w:tr>
      <w:tr>
        <w:tc>
          <w:tcPr>
            <w:tcW w:type="dxa" w:w="1234"/>
          </w:tcPr>
          <w:p>
            <w:r>
              <w:rPr>
                <w:rFonts w:ascii="Calibri" w:hAnsi="Calibri"/>
                <w:sz w:val="22"/>
              </w:rPr>
              <w:t>Occupancy (%)</w:t>
            </w:r>
          </w:p>
        </w:tc>
        <w:tc>
          <w:tcPr>
            <w:tcW w:type="dxa" w:w="1234"/>
          </w:tcPr>
          <w:p>
            <w:r>
              <w:rPr>
                <w:rFonts w:ascii="Calibri" w:hAnsi="Calibri"/>
                <w:sz w:val="22"/>
              </w:rPr>
              <w:t>96.0%</w:t>
            </w:r>
          </w:p>
        </w:tc>
        <w:tc>
          <w:tcPr>
            <w:tcW w:type="dxa" w:w="1234"/>
          </w:tcPr>
          <w:p>
            <w:r>
              <w:rPr>
                <w:rFonts w:ascii="Calibri" w:hAnsi="Calibri"/>
                <w:sz w:val="22"/>
              </w:rPr>
              <w:t>96.0%</w:t>
            </w:r>
          </w:p>
        </w:tc>
        <w:tc>
          <w:tcPr>
            <w:tcW w:type="dxa" w:w="1234"/>
          </w:tcPr>
          <w:p>
            <w:r>
              <w:rPr>
                <w:rFonts w:ascii="Calibri" w:hAnsi="Calibri"/>
                <w:sz w:val="22"/>
              </w:rPr>
              <w:t>96.1%</w:t>
            </w:r>
          </w:p>
        </w:tc>
        <w:tc>
          <w:tcPr>
            <w:tcW w:type="dxa" w:w="1234"/>
          </w:tcPr>
          <w:p>
            <w:r>
              <w:rPr>
                <w:rFonts w:ascii="Calibri" w:hAnsi="Calibri"/>
                <w:sz w:val="22"/>
              </w:rPr>
              <w:t>Flat YoY</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r>
        <w:tc>
          <w:tcPr>
            <w:tcW w:type="dxa" w:w="1234"/>
          </w:tcPr>
          <w:p>
            <w:r>
              <w:rPr>
                <w:rFonts w:ascii="Calibri" w:hAnsi="Calibri"/>
                <w:sz w:val="22"/>
              </w:rPr>
              <w:t>Cash Releasing Spread (%)</w:t>
            </w:r>
          </w:p>
        </w:tc>
        <w:tc>
          <w:tcPr>
            <w:tcW w:type="dxa" w:w="1234"/>
          </w:tcPr>
          <w:p>
            <w:r>
              <w:rPr>
                <w:rFonts w:ascii="Calibri" w:hAnsi="Calibri"/>
                <w:sz w:val="22"/>
              </w:rPr>
              <w:t>15.2%</w:t>
            </w:r>
          </w:p>
        </w:tc>
        <w:tc>
          <w:tcPr>
            <w:tcW w:type="dxa" w:w="1234"/>
          </w:tcPr>
          <w:p>
            <w:r>
              <w:rPr>
                <w:rFonts w:ascii="Calibri" w:hAnsi="Calibri"/>
                <w:sz w:val="22"/>
              </w:rPr>
              <w:t>9.0%</w:t>
            </w:r>
          </w:p>
        </w:tc>
        <w:tc>
          <w:tcPr>
            <w:tcW w:type="dxa" w:w="1234"/>
          </w:tcPr>
          <w:p>
            <w:r>
              <w:rPr>
                <w:rFonts w:ascii="Calibri" w:hAnsi="Calibri"/>
                <w:sz w:val="22"/>
              </w:rPr>
              <w:t>~6.2%</w:t>
            </w:r>
          </w:p>
        </w:tc>
        <w:tc>
          <w:tcPr>
            <w:tcW w:type="dxa" w:w="1234"/>
          </w:tcPr>
          <w:p>
            <w:r>
              <w:rPr>
                <w:rFonts w:ascii="Calibri" w:hAnsi="Calibri"/>
                <w:sz w:val="22"/>
              </w:rPr>
              <w:t>−2.8 ppts vs. PY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Dividends per Share ($)</w:t>
            </w:r>
          </w:p>
        </w:tc>
        <w:tc>
          <w:tcPr>
            <w:tcW w:type="dxa" w:w="1234"/>
          </w:tcPr>
          <w:p>
            <w:r>
              <w:rPr>
                <w:rFonts w:ascii="Calibri" w:hAnsi="Calibri"/>
                <w:sz w:val="22"/>
              </w:rPr>
              <w:t>$2.25 (Q2 declared)</w:t>
            </w:r>
          </w:p>
        </w:tc>
        <w:tc>
          <w:tcPr>
            <w:tcW w:type="dxa" w:w="1234"/>
          </w:tcPr>
          <w:p>
            <w:r>
              <w:rPr>
                <w:rFonts w:ascii="Calibri" w:hAnsi="Calibri"/>
                <w:sz w:val="22"/>
              </w:rPr>
              <w:t>$2.10</w:t>
            </w:r>
          </w:p>
        </w:tc>
        <w:tc>
          <w:tcPr>
            <w:tcW w:type="dxa" w:w="1234"/>
          </w:tcPr>
          <w:p>
            <w:r>
              <w:rPr>
                <w:rFonts w:ascii="Calibri" w:hAnsi="Calibri"/>
                <w:sz w:val="22"/>
              </w:rPr>
              <w:t>$2.25 (declared)</w:t>
            </w:r>
          </w:p>
        </w:tc>
        <w:tc>
          <w:tcPr>
            <w:tcW w:type="dxa" w:w="1234"/>
          </w:tcPr>
          <w:p>
            <w:r>
              <w:rPr>
                <w:rFonts w:ascii="Calibri" w:hAnsi="Calibri"/>
                <w:sz w:val="22"/>
              </w:rPr>
              <w:t>+7.1%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Real Estate FFO per share, Same-Store NOI Growth, Occupancy, Cash Releasing Spread sourced from Visible Alpha (SPG US). Dividend per share from SPG Q1 2026 earnings release (May 11,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Real Estate FFO per Share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$3.17</w:t>
            </w:r>
          </w:p>
        </w:tc>
        <w:tc>
          <w:tcPr>
            <w:tcW w:type="dxa" w:w="1728"/>
          </w:tcPr>
          <w:p>
            <w:r>
              <w:rPr>
                <w:rFonts w:ascii="Calibri" w:hAnsi="Calibri"/>
                <w:sz w:val="22"/>
              </w:rPr>
              <w:t>$3.14</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$3.49</w:t>
            </w:r>
          </w:p>
        </w:tc>
        <w:tc>
          <w:tcPr>
            <w:tcW w:type="dxa" w:w="1728"/>
          </w:tcPr>
          <w:p>
            <w:r>
              <w:rPr>
                <w:rFonts w:ascii="Calibri" w:hAnsi="Calibri"/>
                <w:sz w:val="22"/>
              </w:rPr>
              <w:t>$3.45</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$3.22</w:t>
            </w:r>
          </w:p>
        </w:tc>
        <w:tc>
          <w:tcPr>
            <w:tcW w:type="dxa" w:w="1728"/>
          </w:tcPr>
          <w:p>
            <w:r>
              <w:rPr>
                <w:rFonts w:ascii="Calibri" w:hAnsi="Calibri"/>
                <w:sz w:val="22"/>
              </w:rPr>
              <w:t>$3.13</w:t>
            </w:r>
          </w:p>
        </w:tc>
        <w:tc>
          <w:tcPr>
            <w:tcW w:type="dxa" w:w="1728"/>
          </w:tcPr>
          <w:p>
            <w:r>
              <w:rPr>
                <w:rFonts w:ascii="Calibri" w:hAnsi="Calibri"/>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$3.06</w:t>
            </w:r>
          </w:p>
        </w:tc>
        <w:tc>
          <w:tcPr>
            <w:tcW w:type="dxa" w:w="1728"/>
          </w:tcPr>
          <w:p>
            <w:r>
              <w:rPr>
                <w:rFonts w:ascii="Calibri" w:hAnsi="Calibri"/>
                <w:sz w:val="22"/>
              </w:rPr>
              <w:t>$3.06</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Q1 2025</w:t>
            </w:r>
          </w:p>
        </w:tc>
        <w:tc>
          <w:tcPr>
            <w:tcW w:type="dxa" w:w="1728"/>
          </w:tcPr>
          <w:p>
            <w:r>
              <w:rPr>
                <w:rFonts w:ascii="Calibri" w:hAnsi="Calibri"/>
                <w:sz w:val="22"/>
              </w:rPr>
              <w:t>$2.95</w:t>
            </w:r>
          </w:p>
        </w:tc>
        <w:tc>
          <w:tcPr>
            <w:tcW w:type="dxa" w:w="1728"/>
          </w:tcPr>
          <w:p>
            <w:r>
              <w:rPr>
                <w:rFonts w:ascii="Calibri" w:hAnsi="Calibri"/>
                <w:sz w:val="22"/>
              </w:rPr>
              <w:t>$2.87</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$3.35</w:t>
            </w:r>
          </w:p>
        </w:tc>
        <w:tc>
          <w:tcPr>
            <w:tcW w:type="dxa" w:w="1728"/>
          </w:tcPr>
          <w:p>
            <w:r>
              <w:rPr>
                <w:rFonts w:ascii="Calibri" w:hAnsi="Calibri"/>
                <w:sz w:val="22"/>
              </w:rPr>
              <w:t>$3.33</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$3.05</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Same-Store NOI Growth YoY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6.7%</w:t>
            </w:r>
          </w:p>
        </w:tc>
        <w:tc>
          <w:tcPr>
            <w:tcW w:type="dxa" w:w="1728"/>
          </w:tcPr>
          <w:p>
            <w:r>
              <w:rPr>
                <w:rFonts w:ascii="Calibri" w:hAnsi="Calibri"/>
                <w:sz w:val="22"/>
              </w:rPr>
              <w:t>2.4%</w:t>
            </w:r>
          </w:p>
        </w:tc>
        <w:tc>
          <w:tcPr>
            <w:tcW w:type="dxa" w:w="1728"/>
          </w:tcPr>
          <w:p>
            <w:r>
              <w:rPr>
                <w:rFonts w:ascii="Calibri" w:hAnsi="Calibri"/>
                <w:sz w:val="22"/>
              </w:rPr>
              <w:t>+4.3 ppts</w:t>
            </w:r>
          </w:p>
        </w:tc>
        <w:tc>
          <w:tcPr>
            <w:tcW w:type="dxa" w:w="1728"/>
          </w:tcPr>
          <w:p>
            <w:r>
              <w:rPr>
                <w:rFonts w:ascii="Calibri" w:hAnsi="Calibri"/>
                <w:b/>
                <w:color w:val="30A46C"/>
                <w:sz w:val="22"/>
              </w:rPr>
              <w:t>Large Beat</w:t>
            </w:r>
          </w:p>
        </w:tc>
      </w:tr>
      <w:tr>
        <w:tc>
          <w:tcPr>
            <w:tcW w:type="dxa" w:w="1728"/>
          </w:tcPr>
          <w:p>
            <w:r>
              <w:rPr>
                <w:rFonts w:ascii="Calibri" w:hAnsi="Calibri"/>
                <w:sz w:val="22"/>
              </w:rPr>
              <w:t>Q4 2025</w:t>
            </w:r>
          </w:p>
        </w:tc>
        <w:tc>
          <w:tcPr>
            <w:tcW w:type="dxa" w:w="1728"/>
          </w:tcPr>
          <w:p>
            <w:r>
              <w:rPr>
                <w:rFonts w:ascii="Calibri" w:hAnsi="Calibri"/>
                <w:sz w:val="22"/>
              </w:rPr>
              <w:t>4.9%</w:t>
            </w:r>
          </w:p>
        </w:tc>
        <w:tc>
          <w:tcPr>
            <w:tcW w:type="dxa" w:w="1728"/>
          </w:tcPr>
          <w:p>
            <w:r>
              <w:rPr>
                <w:rFonts w:ascii="Calibri" w:hAnsi="Calibri"/>
                <w:sz w:val="22"/>
              </w:rPr>
              <w:t>4.3%</w:t>
            </w:r>
          </w:p>
        </w:tc>
        <w:tc>
          <w:tcPr>
            <w:tcW w:type="dxa" w:w="1728"/>
          </w:tcPr>
          <w:p>
            <w:r>
              <w:rPr>
                <w:rFonts w:ascii="Calibri" w:hAnsi="Calibri"/>
                <w:sz w:val="22"/>
              </w:rPr>
              <w:t>+0.6 ppts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5.2%</w:t>
            </w:r>
          </w:p>
        </w:tc>
        <w:tc>
          <w:tcPr>
            <w:tcW w:type="dxa" w:w="1728"/>
          </w:tcPr>
          <w:p>
            <w:r>
              <w:rPr>
                <w:rFonts w:ascii="Calibri" w:hAnsi="Calibri"/>
                <w:sz w:val="22"/>
              </w:rPr>
              <w:t>3.8%</w:t>
            </w:r>
          </w:p>
        </w:tc>
        <w:tc>
          <w:tcPr>
            <w:tcW w:type="dxa" w:w="1728"/>
          </w:tcPr>
          <w:p>
            <w:r>
              <w:rPr>
                <w:rFonts w:ascii="Calibri" w:hAnsi="Calibri"/>
                <w:sz w:val="22"/>
              </w:rPr>
              <w:t>+1.4 ppts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4.7%</w:t>
            </w:r>
          </w:p>
        </w:tc>
        <w:tc>
          <w:tcPr>
            <w:tcW w:type="dxa" w:w="1728"/>
          </w:tcPr>
          <w:p>
            <w:r>
              <w:rPr>
                <w:rFonts w:ascii="Calibri" w:hAnsi="Calibri"/>
                <w:sz w:val="22"/>
              </w:rPr>
              <w:t>3.6%</w:t>
            </w:r>
          </w:p>
        </w:tc>
        <w:tc>
          <w:tcPr>
            <w:tcW w:type="dxa" w:w="1728"/>
          </w:tcPr>
          <w:p>
            <w:r>
              <w:rPr>
                <w:rFonts w:ascii="Calibri" w:hAnsi="Calibri"/>
                <w:sz w:val="22"/>
              </w:rPr>
              <w:t>+1.1 ppts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3.6%</w:t>
            </w:r>
          </w:p>
        </w:tc>
        <w:tc>
          <w:tcPr>
            <w:tcW w:type="dxa" w:w="1728"/>
          </w:tcPr>
          <w:p>
            <w:r>
              <w:rPr>
                <w:rFonts w:ascii="Calibri" w:hAnsi="Calibri"/>
                <w:sz w:val="22"/>
              </w:rPr>
              <w:t>5.7%</w:t>
            </w:r>
          </w:p>
        </w:tc>
        <w:tc>
          <w:tcPr>
            <w:tcW w:type="dxa" w:w="1728"/>
          </w:tcPr>
          <w:p>
            <w:r>
              <w:rPr>
                <w:rFonts w:ascii="Calibri" w:hAnsi="Calibri"/>
                <w:sz w:val="22"/>
              </w:rPr>
              <w:t>−2.1 ppts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4.4%</w:t>
            </w:r>
          </w:p>
        </w:tc>
        <w:tc>
          <w:tcPr>
            <w:tcW w:type="dxa" w:w="1728"/>
          </w:tcPr>
          <w:p>
            <w:r>
              <w:rPr>
                <w:rFonts w:ascii="Calibri" w:hAnsi="Calibri"/>
                <w:sz w:val="22"/>
              </w:rPr>
              <w:t>2.0%</w:t>
            </w:r>
          </w:p>
        </w:tc>
        <w:tc>
          <w:tcPr>
            <w:tcW w:type="dxa" w:w="1728"/>
          </w:tcPr>
          <w:p>
            <w:r>
              <w:rPr>
                <w:rFonts w:ascii="Calibri" w:hAnsi="Calibri"/>
                <w:sz w:val="22"/>
              </w:rPr>
              <w:t>+2.4 ppts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5.0%</w:t>
            </w:r>
          </w:p>
        </w:tc>
        <w:tc>
          <w:tcPr>
            <w:tcW w:type="dxa" w:w="1728"/>
          </w:tcPr>
          <w:p>
            <w:r>
              <w:rPr>
                <w:rFonts w:ascii="Calibri" w:hAnsi="Calibri"/>
                <w:sz w:val="22"/>
              </w:rPr>
              <w:t>1.8%</w:t>
            </w:r>
          </w:p>
        </w:tc>
        <w:tc>
          <w:tcPr>
            <w:tcW w:type="dxa" w:w="1728"/>
          </w:tcPr>
          <w:p>
            <w:r>
              <w:rPr>
                <w:rFonts w:ascii="Calibri" w:hAnsi="Calibri"/>
                <w:sz w:val="22"/>
              </w:rPr>
              <w:t>+3.2 ppts</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SPG has beaten Real Estate FFO consensus in 5 of the last 6 reported quarters, and has consistently outperformed same-store NOI consensus by a wide margin — the Street’s “at least 3%” anchor appears to anchor estimates too conservatively relative to actual delivery.</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raised the low end of FY 2026 Real Estate FFO guidance at Q1 earnings (May 11), signaling confidence despite acknowledged interest expense headwinds and tenant bankruptcy noise; no post-earnings guidance revision has been issued, leaving the raised range as the current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11,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Real Estate FFO/Share</w:t>
            </w:r>
          </w:p>
        </w:tc>
        <w:tc>
          <w:tcPr>
            <w:tcW w:type="dxa" w:w="1728"/>
          </w:tcPr>
          <w:p>
            <w:r>
              <w:rPr>
                <w:rFonts w:ascii="Calibri" w:hAnsi="Calibri"/>
                <w:sz w:val="22"/>
              </w:rPr>
              <w:t>$13.10–$13.25 (midpoint $13.175); raised from prior range set at Q4 2025 earnings</w:t>
            </w:r>
          </w:p>
        </w:tc>
        <w:tc>
          <w:tcPr>
            <w:tcW w:type="dxa" w:w="1728"/>
          </w:tcPr>
          <w:p>
            <w:r>
              <w:rPr>
                <w:rFonts w:ascii="Calibri" w:hAnsi="Calibri"/>
                <w:sz w:val="22"/>
              </w:rPr>
              <w:t>—</w:t>
            </w:r>
          </w:p>
        </w:tc>
        <w:tc>
          <w:tcPr>
            <w:tcW w:type="dxa" w:w="1728"/>
          </w:tcPr>
          <w:p>
            <w:r>
              <w:rPr>
                <w:rFonts w:ascii="Calibri" w:hAnsi="Calibri"/>
                <w:sz w:val="22"/>
              </w:rPr>
              <w:t>$13.27</w:t>
            </w:r>
          </w:p>
        </w:tc>
        <w:tc>
          <w:tcPr>
            <w:tcW w:type="dxa" w:w="1728"/>
          </w:tcPr>
          <w:p>
            <w:r>
              <w:rPr>
                <w:rFonts w:ascii="Calibri" w:hAnsi="Calibri"/>
                <w:sz w:val="22"/>
              </w:rPr>
              <w:t>No post-earnings revision; consensus sits slightly above midpoint (+0.7%)</w:t>
            </w:r>
          </w:p>
        </w:tc>
      </w:tr>
      <w:tr>
        <w:tc>
          <w:tcPr>
            <w:tcW w:type="dxa" w:w="1728"/>
          </w:tcPr>
          <w:p>
            <w:r>
              <w:rPr>
                <w:rFonts w:ascii="Calibri" w:hAnsi="Calibri"/>
                <w:sz w:val="22"/>
              </w:rPr>
              <w:t>Domestic Property NOI Growth</w:t>
            </w:r>
          </w:p>
        </w:tc>
        <w:tc>
          <w:tcPr>
            <w:tcW w:type="dxa" w:w="1728"/>
          </w:tcPr>
          <w:p>
            <w:r>
              <w:rPr>
                <w:rFonts w:ascii="Calibri" w:hAnsi="Calibri"/>
                <w:sz w:val="22"/>
              </w:rPr>
              <w:t>“At least 3%” for FY 2026; Q1 actual was 6.7% (incl. ~120 bps from TRG acquisition)</w:t>
            </w:r>
          </w:p>
        </w:tc>
        <w:tc>
          <w:tcPr>
            <w:tcW w:type="dxa" w:w="1728"/>
          </w:tcPr>
          <w:p>
            <w:r>
              <w:rPr>
                <w:rFonts w:ascii="Calibri" w:hAnsi="Calibri"/>
                <w:sz w:val="22"/>
              </w:rPr>
              <w:t>—</w:t>
            </w:r>
          </w:p>
        </w:tc>
        <w:tc>
          <w:tcPr>
            <w:tcW w:type="dxa" w:w="1728"/>
          </w:tcPr>
          <w:p>
            <w:r>
              <w:rPr>
                <w:rFonts w:ascii="Calibri" w:hAnsi="Calibri"/>
                <w:sz w:val="22"/>
              </w:rPr>
              <w:t>~5.1% for Q2; ~6.4% for FY</w:t>
            </w:r>
          </w:p>
        </w:tc>
        <w:tc>
          <w:tcPr>
            <w:tcW w:type="dxa" w:w="1728"/>
          </w:tcPr>
          <w:p>
            <w:r>
              <w:rPr>
                <w:rFonts w:ascii="Calibri" w:hAnsi="Calibri"/>
                <w:sz w:val="22"/>
              </w:rPr>
              <w:t>Guidance floor unchanged; management has outperformed for 4 consecutive years</w:t>
            </w:r>
          </w:p>
        </w:tc>
      </w:tr>
      <w:tr>
        <w:tc>
          <w:tcPr>
            <w:tcW w:type="dxa" w:w="1728"/>
          </w:tcPr>
          <w:p>
            <w:r>
              <w:rPr>
                <w:rFonts w:ascii="Calibri" w:hAnsi="Calibri"/>
                <w:sz w:val="22"/>
              </w:rPr>
              <w:t>Interest Expense Headwind (FY 2026)</w:t>
            </w:r>
          </w:p>
        </w:tc>
        <w:tc>
          <w:tcPr>
            <w:tcW w:type="dxa" w:w="1728"/>
          </w:tcPr>
          <w:p>
            <w:r>
              <w:rPr>
                <w:rFonts w:ascii="Calibri" w:hAnsi="Calibri"/>
                <w:sz w:val="22"/>
              </w:rPr>
              <w:t>Originally $0.25–$0.30 drag; now “gravitating closer to $0.25” as spreads tightened</w:t>
            </w:r>
          </w:p>
        </w:tc>
        <w:tc>
          <w:tcPr>
            <w:tcW w:type="dxa" w:w="1728"/>
          </w:tcPr>
          <w:p>
            <w:r>
              <w:rPr>
                <w:rFonts w:ascii="Calibri" w:hAnsi="Calibri"/>
                <w:sz w:val="22"/>
              </w:rPr>
              <w:t>—</w:t>
            </w:r>
          </w:p>
        </w:tc>
        <w:tc>
          <w:tcPr>
            <w:tcW w:type="dxa" w:w="1728"/>
          </w:tcPr>
          <w:p>
            <w:r>
              <w:rPr>
                <w:rFonts w:ascii="Calibri" w:hAnsi="Calibri"/>
                <w:sz w:val="22"/>
              </w:rPr>
              <w:t>N/A (embedded in FFO consensus)</w:t>
            </w:r>
          </w:p>
        </w:tc>
        <w:tc>
          <w:tcPr>
            <w:tcW w:type="dxa" w:w="1728"/>
          </w:tcPr>
          <w:p>
            <w:r>
              <w:rPr>
                <w:rFonts w:ascii="Calibri" w:hAnsi="Calibri"/>
                <w:sz w:val="22"/>
              </w:rPr>
              <w:t>Positive tone shift; Shops at Crystals CMBS priced at 4.83% — lowest retail CMBS coupon in 4 years</w:t>
            </w:r>
          </w:p>
        </w:tc>
      </w:tr>
      <w:tr>
        <w:tc>
          <w:tcPr>
            <w:tcW w:type="dxa" w:w="1728"/>
          </w:tcPr>
          <w:p>
            <w:r>
              <w:rPr>
                <w:rFonts w:ascii="Calibri" w:hAnsi="Calibri"/>
                <w:sz w:val="22"/>
              </w:rPr>
              <w:t>Quarterly Dividend</w:t>
            </w:r>
          </w:p>
        </w:tc>
        <w:tc>
          <w:tcPr>
            <w:tcW w:type="dxa" w:w="1728"/>
          </w:tcPr>
          <w:p>
            <w:r>
              <w:rPr>
                <w:rFonts w:ascii="Calibri" w:hAnsi="Calibri"/>
                <w:sz w:val="22"/>
              </w:rPr>
              <w:t>$2.25/share for Q2 2026 (payable June 30); +7.1% YoY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Dividend raise signals management confidence in cash flow sustainability</w:t>
            </w:r>
          </w:p>
        </w:tc>
      </w:tr>
      <w:tr>
        <w:tc>
          <w:tcPr>
            <w:tcW w:type="dxa" w:w="1728"/>
          </w:tcPr>
          <w:p>
            <w:r>
              <w:rPr>
                <w:rFonts w:ascii="Calibri" w:hAnsi="Calibri"/>
                <w:sz w:val="22"/>
              </w:rPr>
              <w:t>Development Pipeline</w:t>
            </w:r>
          </w:p>
        </w:tc>
        <w:tc>
          <w:tcPr>
            <w:tcW w:type="dxa" w:w="1728"/>
          </w:tcPr>
          <w:p>
            <w:r>
              <w:rPr>
                <w:rFonts w:ascii="Calibri" w:hAnsi="Calibri"/>
                <w:sz w:val="22"/>
              </w:rPr>
              <w:t>$1.06B under construction at 9% blended yield; ~$1B able to start in 2026; ~$3B longer-term shadow pipeline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Taubman redevelopments (Cherry Creek, Green Hills, International Plaza) actively starting</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Q2 2026 Real Estate FFO estimates have drifted modestly lower since the Q1 print (from ~$3.21 to ~$3.23 on a rounded basis), while FY 2026 consensus is essentially flat — the Street has not aggressively raised numbers despite the Q1 beat and guidance raise, leaving a constructive setup where the bar is achievable.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 ~May 18, 2026)</w:t>
            </w:r>
          </w:p>
        </w:tc>
        <w:tc>
          <w:tcPr>
            <w:tcW w:type="dxa" w:w="1080"/>
            <w:shd w:val="clear" w:color="auto" w:fill="3B4259"/>
          </w:tcPr>
          <w:p>
            <w:r>
              <w:rPr>
                <w:rFonts w:ascii="Calibri" w:hAnsi="Calibri"/>
                <w:b/>
                <w:color w:val="FFFFFF"/>
                <w:sz w:val="22"/>
              </w:rPr>
              <w:t>Current Consensus (Aug 10,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Real Estate FFO/Share — Q2 2026</w:t>
            </w:r>
          </w:p>
        </w:tc>
        <w:tc>
          <w:tcPr>
            <w:tcW w:type="dxa" w:w="1080"/>
          </w:tcPr>
          <w:p>
            <w:r>
              <w:rPr>
                <w:rFonts w:ascii="Calibri" w:hAnsi="Calibri"/>
                <w:sz w:val="22"/>
              </w:rPr>
              <w:t>$3.21</w:t>
            </w:r>
          </w:p>
        </w:tc>
        <w:tc>
          <w:tcPr>
            <w:tcW w:type="dxa" w:w="1080"/>
          </w:tcPr>
          <w:p>
            <w:r>
              <w:rPr>
                <w:rFonts w:ascii="Calibri" w:hAnsi="Calibri"/>
                <w:sz w:val="22"/>
              </w:rPr>
              <w:t>$3.23</w:t>
            </w:r>
          </w:p>
        </w:tc>
        <w:tc>
          <w:tcPr>
            <w:tcW w:type="dxa" w:w="1080"/>
          </w:tcPr>
          <w:p>
            <w:r>
              <w:rPr>
                <w:rFonts w:ascii="Calibri" w:hAnsi="Calibri"/>
                <w:sz w:val="22"/>
              </w:rPr>
              <w:t>+0.6%</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Real Estate FFO/Share — FY 2026</w:t>
            </w:r>
          </w:p>
        </w:tc>
        <w:tc>
          <w:tcPr>
            <w:tcW w:type="dxa" w:w="1080"/>
          </w:tcPr>
          <w:p>
            <w:r>
              <w:rPr>
                <w:rFonts w:ascii="Calibri" w:hAnsi="Calibri"/>
                <w:sz w:val="22"/>
              </w:rPr>
              <w:t>$13.30</w:t>
            </w:r>
          </w:p>
        </w:tc>
        <w:tc>
          <w:tcPr>
            <w:tcW w:type="dxa" w:w="1080"/>
          </w:tcPr>
          <w:p>
            <w:r>
              <w:rPr>
                <w:rFonts w:ascii="Calibri" w:hAnsi="Calibri"/>
                <w:sz w:val="22"/>
              </w:rPr>
              <w:t>$13.27</w:t>
            </w:r>
          </w:p>
        </w:tc>
        <w:tc>
          <w:tcPr>
            <w:tcW w:type="dxa" w:w="1080"/>
          </w:tcPr>
          <w:p>
            <w:r>
              <w:rPr>
                <w:rFonts w:ascii="Calibri" w:hAnsi="Calibri"/>
                <w:sz w:val="22"/>
              </w:rPr>
              <w:t>−0.2%</w:t>
            </w:r>
          </w:p>
        </w:tc>
        <w:tc>
          <w:tcPr>
            <w:tcW w:type="dxa" w:w="1080"/>
          </w:tcPr>
          <w:p>
            <w:r>
              <w:rPr>
                <w:rFonts w:ascii="Calibri" w:hAnsi="Calibri"/>
                <w:sz w:val="22"/>
              </w:rPr>
              <w:t>$13.10–$13.25 (midpoint $13.175)</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+0.7% above midpoint</w:t>
            </w:r>
          </w:p>
        </w:tc>
      </w:tr>
      <w:tr>
        <w:tc>
          <w:tcPr>
            <w:tcW w:type="dxa" w:w="1080"/>
          </w:tcPr>
          <w:p>
            <w:r>
              <w:rPr>
                <w:rFonts w:ascii="Calibri" w:hAnsi="Calibri"/>
                <w:sz w:val="22"/>
              </w:rPr>
              <w:t>Same-Store NOI Growth — Q2 2026</w:t>
            </w:r>
          </w:p>
        </w:tc>
        <w:tc>
          <w:tcPr>
            <w:tcW w:type="dxa" w:w="1080"/>
          </w:tcPr>
          <w:p>
            <w:r>
              <w:rPr>
                <w:rFonts w:ascii="Calibri" w:hAnsi="Calibri"/>
                <w:sz w:val="22"/>
              </w:rPr>
              <w:t>6.0%</w:t>
            </w:r>
          </w:p>
        </w:tc>
        <w:tc>
          <w:tcPr>
            <w:tcW w:type="dxa" w:w="1080"/>
          </w:tcPr>
          <w:p>
            <w:r>
              <w:rPr>
                <w:rFonts w:ascii="Calibri" w:hAnsi="Calibri"/>
                <w:sz w:val="22"/>
              </w:rPr>
              <w:t>~5.1%</w:t>
            </w:r>
          </w:p>
        </w:tc>
        <w:tc>
          <w:tcPr>
            <w:tcW w:type="dxa" w:w="1080"/>
          </w:tcPr>
          <w:p>
            <w:r>
              <w:rPr>
                <w:rFonts w:ascii="Calibri" w:hAnsi="Calibri"/>
                <w:sz w:val="22"/>
              </w:rPr>
              <w:t>−90 bps</w:t>
            </w:r>
          </w:p>
        </w:tc>
        <w:tc>
          <w:tcPr>
            <w:tcW w:type="dxa" w:w="1080"/>
          </w:tcPr>
          <w:p>
            <w:r>
              <w:rPr>
                <w:rFonts w:ascii="Calibri" w:hAnsi="Calibri"/>
                <w:sz w:val="22"/>
              </w:rPr>
              <w:t>“At least 3%” (FY)</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~+210 bps above floor</w:t>
            </w:r>
          </w:p>
        </w:tc>
      </w:tr>
      <w:tr>
        <w:tc>
          <w:tcPr>
            <w:tcW w:type="dxa" w:w="1080"/>
          </w:tcPr>
          <w:p>
            <w:r>
              <w:rPr>
                <w:rFonts w:ascii="Calibri" w:hAnsi="Calibri"/>
                <w:sz w:val="22"/>
              </w:rPr>
              <w:t>Same-Store NOI Growth — FY 2026</w:t>
            </w:r>
          </w:p>
        </w:tc>
        <w:tc>
          <w:tcPr>
            <w:tcW w:type="dxa" w:w="1080"/>
          </w:tcPr>
          <w:p>
            <w:r>
              <w:rPr>
                <w:rFonts w:ascii="Calibri" w:hAnsi="Calibri"/>
                <w:sz w:val="22"/>
              </w:rPr>
              <w:t>5.4%</w:t>
            </w:r>
          </w:p>
        </w:tc>
        <w:tc>
          <w:tcPr>
            <w:tcW w:type="dxa" w:w="1080"/>
          </w:tcPr>
          <w:p>
            <w:r>
              <w:rPr>
                <w:rFonts w:ascii="Calibri" w:hAnsi="Calibri"/>
                <w:sz w:val="22"/>
              </w:rPr>
              <w:t>~6.4%</w:t>
            </w:r>
          </w:p>
        </w:tc>
        <w:tc>
          <w:tcPr>
            <w:tcW w:type="dxa" w:w="1080"/>
          </w:tcPr>
          <w:p>
            <w:r>
              <w:rPr>
                <w:rFonts w:ascii="Calibri" w:hAnsi="Calibri"/>
                <w:sz w:val="22"/>
              </w:rPr>
              <w:t>+100 bps</w:t>
            </w:r>
          </w:p>
        </w:tc>
        <w:tc>
          <w:tcPr>
            <w:tcW w:type="dxa" w:w="1080"/>
          </w:tcPr>
          <w:p>
            <w:r>
              <w:rPr>
                <w:rFonts w:ascii="Calibri" w:hAnsi="Calibri"/>
                <w:sz w:val="22"/>
              </w:rPr>
              <w:t>“At least 3%”</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~+340 bps above floor</w:t>
            </w:r>
          </w:p>
        </w:tc>
      </w:tr>
      <w:tr>
        <w:tc>
          <w:tcPr>
            <w:tcW w:type="dxa" w:w="1080"/>
          </w:tcPr>
          <w:p>
            <w:r>
              <w:rPr>
                <w:rFonts w:ascii="Calibri" w:hAnsi="Calibri"/>
                <w:sz w:val="22"/>
              </w:rPr>
              <w:t>Occupancy — Q2 2026</w:t>
            </w:r>
          </w:p>
        </w:tc>
        <w:tc>
          <w:tcPr>
            <w:tcW w:type="dxa" w:w="1080"/>
          </w:tcPr>
          <w:p>
            <w:r>
              <w:rPr>
                <w:rFonts w:ascii="Calibri" w:hAnsi="Calibri"/>
                <w:sz w:val="22"/>
              </w:rPr>
              <w:t>96.2%</w:t>
            </w:r>
          </w:p>
        </w:tc>
        <w:tc>
          <w:tcPr>
            <w:tcW w:type="dxa" w:w="1080"/>
          </w:tcPr>
          <w:p>
            <w:r>
              <w:rPr>
                <w:rFonts w:ascii="Calibri" w:hAnsi="Calibri"/>
                <w:sz w:val="22"/>
              </w:rPr>
              <w:t>96.1%</w:t>
            </w:r>
          </w:p>
        </w:tc>
        <w:tc>
          <w:tcPr>
            <w:tcW w:type="dxa" w:w="1080"/>
          </w:tcPr>
          <w:p>
            <w:r>
              <w:rPr>
                <w:rFonts w:ascii="Calibri" w:hAnsi="Calibri"/>
                <w:sz w:val="22"/>
              </w:rPr>
              <w:t>−10 bps</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for Q2 2026 Real Estate FFO have been essentially stable since the Q1 print, with a slight upward drift (+0.6%) — unusual given the strong Q1 beat, suggesting the Street is being cautious about the TRG acquisition tailwind lapping (which contributed ~120 bps to Q1 NOI growth and will continue through Q2 and Q3). The FY 2026 consensus of $13.27 sits just above the raised guidance midpoint of $13.175, implying the market expects modest outperformance but is not pricing in a blowout.</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SPG has rallied ~11% since the May 11 Q1 earnings date, roughly in line with XRT (+11%) but well ahead of SPY (+5%); the 12-month +33% return has been driven predominantly by </w:t>
      </w:r>
      <w:r>
        <w:rPr>
          <w:rFonts w:ascii="Calibri" w:hAnsi="Calibri"/>
          <w:b/>
          <w:color w:val="525866"/>
          <w:sz w:val="22"/>
        </w:rPr>
        <w:t>multiple expansion</w:t>
      </w:r>
      <w:r>
        <w:rPr>
          <w:rFonts w:ascii="Calibri" w:hAnsi="Calibri"/>
          <w:color w:val="525866"/>
          <w:sz w:val="22"/>
        </w:rPr>
        <w:t xml:space="preserve"> (EV/EBITDA expanded from ~15.3x to ~17.3x), not estimate revisions — leaving valuation full and the stock more vulnerable to any operational disappointment.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SPG vs. XRT vs. S&amp;P 500 — Indexed to 100 at Q1 2026 Earnings Date (May 11, 2026). Source: Yahoo Finance / Stock Price Data.</w:t>
      </w:r>
    </w:p>
    <w:p>
      <w:r>
        <w:rPr>
          <w:rFonts w:ascii="Calibri" w:hAnsi="Calibri"/>
          <w:b/>
          <w:color w:val="525866"/>
          <w:sz w:val="22"/>
        </w:rPr>
        <w:t>Performance Summary (May 11 – Aug 10,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Series</w:t>
            </w:r>
          </w:p>
        </w:tc>
        <w:tc>
          <w:tcPr>
            <w:tcW w:type="dxa" w:w="2160"/>
            <w:shd w:val="clear" w:color="auto" w:fill="3B4259"/>
          </w:tcPr>
          <w:p>
            <w:r>
              <w:rPr>
                <w:rFonts w:ascii="Calibri" w:hAnsi="Calibri"/>
                <w:b/>
                <w:color w:val="FFFFFF"/>
                <w:sz w:val="22"/>
              </w:rPr>
              <w:t>May 11 Close</w:t>
            </w:r>
          </w:p>
        </w:tc>
        <w:tc>
          <w:tcPr>
            <w:tcW w:type="dxa" w:w="2160"/>
            <w:shd w:val="clear" w:color="auto" w:fill="3B4259"/>
          </w:tcPr>
          <w:p>
            <w:r>
              <w:rPr>
                <w:rFonts w:ascii="Calibri" w:hAnsi="Calibri"/>
                <w:b/>
                <w:color w:val="FFFFFF"/>
                <w:sz w:val="22"/>
              </w:rPr>
              <w:t>Aug 10 Close</w:t>
            </w:r>
          </w:p>
        </w:tc>
        <w:tc>
          <w:tcPr>
            <w:tcW w:type="dxa" w:w="2160"/>
            <w:shd w:val="clear" w:color="auto" w:fill="3B4259"/>
          </w:tcPr>
          <w:p>
            <w:r>
              <w:rPr>
                <w:rFonts w:ascii="Calibri" w:hAnsi="Calibri"/>
                <w:b/>
                <w:color w:val="FFFFFF"/>
                <w:sz w:val="22"/>
              </w:rPr>
              <w:t>Return Since Q1 Earnings</w:t>
            </w:r>
          </w:p>
        </w:tc>
      </w:tr>
      <w:tr>
        <w:tc>
          <w:tcPr>
            <w:tcW w:type="dxa" w:w="2160"/>
          </w:tcPr>
          <w:p>
            <w:r>
              <w:rPr>
                <w:rFonts w:ascii="Calibri" w:hAnsi="Calibri"/>
                <w:sz w:val="22"/>
              </w:rPr>
              <w:t>SPG</w:t>
            </w:r>
          </w:p>
        </w:tc>
        <w:tc>
          <w:tcPr>
            <w:tcW w:type="dxa" w:w="2160"/>
          </w:tcPr>
          <w:p>
            <w:r>
              <w:rPr>
                <w:rFonts w:ascii="Calibri" w:hAnsi="Calibri"/>
                <w:sz w:val="22"/>
              </w:rPr>
              <w:t>$201.00</w:t>
            </w:r>
          </w:p>
        </w:tc>
        <w:tc>
          <w:tcPr>
            <w:tcW w:type="dxa" w:w="2160"/>
          </w:tcPr>
          <w:p>
            <w:r>
              <w:rPr>
                <w:rFonts w:ascii="Calibri" w:hAnsi="Calibri"/>
                <w:sz w:val="22"/>
              </w:rPr>
              <w:t>$222.91</w:t>
            </w:r>
          </w:p>
        </w:tc>
        <w:tc>
          <w:tcPr>
            <w:tcW w:type="dxa" w:w="2160"/>
          </w:tcPr>
          <w:p>
            <w:r>
              <w:rPr>
                <w:rFonts w:ascii="Calibri" w:hAnsi="Calibri"/>
                <w:sz w:val="22"/>
              </w:rPr>
              <w:t>+10.9%</w:t>
            </w:r>
          </w:p>
        </w:tc>
      </w:tr>
      <w:tr>
        <w:tc>
          <w:tcPr>
            <w:tcW w:type="dxa" w:w="2160"/>
          </w:tcPr>
          <w:p>
            <w:r>
              <w:rPr>
                <w:rFonts w:ascii="Calibri" w:hAnsi="Calibri"/>
                <w:sz w:val="22"/>
              </w:rPr>
              <w:t>XRT (SPDR S&amp;P Retail ETF)</w:t>
            </w:r>
          </w:p>
        </w:tc>
        <w:tc>
          <w:tcPr>
            <w:tcW w:type="dxa" w:w="2160"/>
          </w:tcPr>
          <w:p>
            <w:r>
              <w:rPr>
                <w:rFonts w:ascii="Calibri" w:hAnsi="Calibri"/>
                <w:sz w:val="22"/>
              </w:rPr>
              <w:t>$81.66</w:t>
            </w:r>
          </w:p>
        </w:tc>
        <w:tc>
          <w:tcPr>
            <w:tcW w:type="dxa" w:w="2160"/>
          </w:tcPr>
          <w:p>
            <w:r>
              <w:rPr>
                <w:rFonts w:ascii="Calibri" w:hAnsi="Calibri"/>
                <w:sz w:val="22"/>
              </w:rPr>
              <w:t>$90.82</w:t>
            </w:r>
          </w:p>
        </w:tc>
        <w:tc>
          <w:tcPr>
            <w:tcW w:type="dxa" w:w="2160"/>
          </w:tcPr>
          <w:p>
            <w:r>
              <w:rPr>
                <w:rFonts w:ascii="Calibri" w:hAnsi="Calibri"/>
                <w:sz w:val="22"/>
              </w:rPr>
              <w:t>+11.2%</w:t>
            </w:r>
          </w:p>
        </w:tc>
      </w:tr>
      <w:tr>
        <w:tc>
          <w:tcPr>
            <w:tcW w:type="dxa" w:w="2160"/>
          </w:tcPr>
          <w:p>
            <w:r>
              <w:rPr>
                <w:rFonts w:ascii="Calibri" w:hAnsi="Calibri"/>
                <w:sz w:val="22"/>
              </w:rPr>
              <w:t>SPY (S&amp;P 500 ETF)</w:t>
            </w:r>
          </w:p>
        </w:tc>
        <w:tc>
          <w:tcPr>
            <w:tcW w:type="dxa" w:w="2160"/>
          </w:tcPr>
          <w:p>
            <w:r>
              <w:rPr>
                <w:rFonts w:ascii="Calibri" w:hAnsi="Calibri"/>
                <w:sz w:val="22"/>
              </w:rPr>
              <w:t>$739.30</w:t>
            </w:r>
          </w:p>
        </w:tc>
        <w:tc>
          <w:tcPr>
            <w:tcW w:type="dxa" w:w="2160"/>
          </w:tcPr>
          <w:p>
            <w:r>
              <w:rPr>
                <w:rFonts w:ascii="Calibri" w:hAnsi="Calibri"/>
                <w:sz w:val="22"/>
              </w:rPr>
              <w:t>$773.26</w:t>
            </w:r>
          </w:p>
        </w:tc>
        <w:tc>
          <w:tcPr>
            <w:tcW w:type="dxa" w:w="2160"/>
          </w:tcPr>
          <w:p>
            <w:r>
              <w:rPr>
                <w:rFonts w:ascii="Calibri" w:hAnsi="Calibri"/>
                <w:sz w:val="22"/>
              </w:rPr>
              <w:t>+4.6%</w:t>
            </w:r>
          </w:p>
        </w:tc>
      </w:tr>
    </w:tbl>
    <w:p>
      <w:r>
        <w:rPr>
          <w:rFonts w:ascii="Calibri" w:hAnsi="Calibri"/>
          <w:b/>
          <w:color w:val="525866"/>
          <w:sz w:val="22"/>
        </w:rPr>
        <w:t xml:space="preserve">Valuation Context: </w:t>
      </w:r>
      <w:r>
        <w:rPr>
          <w:rFonts w:ascii="Calibri" w:hAnsi="Calibri"/>
          <w:color w:val="525866"/>
          <w:sz w:val="22"/>
        </w:rPr>
        <w:t>SPG currently trades at ~17.3x NTM EV/EBITDA vs. ~15.3x one year ago — a 13% multiple expansion that accounts for the majority of the 12-month +33% price return. Over the past 3 months, the stock is +10.7% with EV/EBITDA expanding from ~17.0x to ~17.3x. The premium valuation reflects superior asset quality and execution, but leaves limited margin of safety if Q2 results disappoint on NOI growth or the leasing pipeline narrative softens.</w:t>
      </w:r>
    </w:p>
    <w:p>
      <w:r>
        <w:rPr>
          <w:rFonts w:ascii="Calibri" w:hAnsi="Calibri"/>
          <w:i/>
          <w:color w:val="525866"/>
          <w:sz w:val="22"/>
        </w:rPr>
        <w:t>Source: Yahoo Finance (Stock Price Data); Implied Stock Performance Decomposition.</w:t>
      </w:r>
    </w:p>
    <w:p>
      <w:r>
        <w:br w:type="page"/>
      </w:r>
    </w:p>
    <w:p>
      <w:pPr>
        <w:pStyle w:val="Heading1"/>
        <w:pBdr>
          <w:bottom w:val="single" w:sz="4" w:space="1" w:color="FB9120"/>
        </w:pBdr>
      </w:pPr>
      <w:r>
        <w:rPr>
          <w:rFonts w:ascii="Calibri" w:hAnsi="Calibri"/>
          <w:b/>
          <w:color w:val="3B4259"/>
          <w:sz w:val="40"/>
        </w:rPr>
        <w:t>6. Peer Commentaries / Read-Throughs (Last 60 Days — Q2 2026 Focus)</w:t>
      </w:r>
    </w:p>
    <w:p>
      <w:r>
        <w:rPr>
          <w:rFonts w:ascii="Calibri" w:hAnsi="Calibri"/>
          <w:b/>
          <w:color w:val="525866"/>
          <w:sz w:val="22"/>
        </w:rPr>
        <w:t xml:space="preserve">Key Takeaway: </w:t>
      </w:r>
      <w:r>
        <w:rPr>
          <w:rFonts w:ascii="Calibri" w:hAnsi="Calibri"/>
          <w:color w:val="525866"/>
          <w:sz w:val="22"/>
        </w:rPr>
        <w:t xml:space="preserve">Peers reporting Q2 2026 results in late July/early August paint a uniformly constructive picture for SPG — </w:t>
      </w:r>
      <w:r>
        <w:rPr>
          <w:rFonts w:ascii="Calibri" w:hAnsi="Calibri"/>
          <w:b/>
          <w:color w:val="525866"/>
          <w:sz w:val="22"/>
        </w:rPr>
        <w:t>retailer demand is described as the deepest in years, consumer traffic is positive and accelerating, and tenant credit is improving</w:t>
      </w:r>
      <w:r>
        <w:rPr>
          <w:rFonts w:ascii="Calibri" w:hAnsi="Calibri"/>
          <w:color w:val="525866"/>
          <w:sz w:val="22"/>
        </w:rPr>
        <w:t>; the most direct read-throughs come from MAC (enclosed malls, record sales PSF) and SKT (outlet channel, 18 consecutive quarters of positive rent spreads), both of which point to a favorable setup for SPG’s Q2 print.</w:t>
      </w:r>
    </w:p>
    <w:p>
      <w:r>
        <w:rPr>
          <w:rFonts w:ascii="Calibri" w:hAnsi="Calibri"/>
          <w:b/>
          <w:color w:val="525866"/>
          <w:sz w:val="22"/>
        </w:rPr>
        <w:t xml:space="preserve">Note on Scope: </w:t>
      </w:r>
      <w:r>
        <w:rPr>
          <w:rFonts w:ascii="Calibri" w:hAnsi="Calibri"/>
          <w:i/>
          <w:color w:val="525866"/>
          <w:sz w:val="22"/>
        </w:rPr>
        <w:t>Only commentary from Q2 2026 earnings calls (reporting on the quarter ended June 30, 2026) or forward-looking statements about Q3/FY 2026 is included below. Prior-quarter results discussed solely in the context of historical performance are excluded.</w:t>
      </w:r>
    </w:p>
    <w:p>
      <w:pPr>
        <w:pStyle w:val="Heading2"/>
      </w:pPr>
      <w:r>
        <w:rPr>
          <w:rFonts w:ascii="Calibri" w:hAnsi="Calibri"/>
          <w:b/>
          <w:color w:val="3B4259"/>
          <w:sz w:val="28"/>
        </w:rPr>
        <w:t>Direct Mall / Outlet Read-Throughs (Highest Relevance)</w:t>
      </w:r>
    </w:p>
    <w:p>
      <w:pPr>
        <w:pStyle w:val="Heading3"/>
      </w:pPr>
      <w:r>
        <w:rPr>
          <w:rFonts w:ascii="Calibri" w:hAnsi="Calibri"/>
          <w:b/>
          <w:color w:val="3B4259"/>
          <w:sz w:val="24"/>
        </w:rPr>
        <w:t>Macerich (MAC) — Q2 2026 Earnings (Reported Aug 4, 2026)</w:t>
      </w:r>
    </w:p>
    <w:p>
      <w:r>
        <w:rPr>
          <w:rFonts w:ascii="Calibri" w:hAnsi="Calibri"/>
          <w:b/>
          <w:color w:val="525866"/>
          <w:sz w:val="22"/>
        </w:rPr>
        <w:t xml:space="preserve">Relevance to SPG: </w:t>
      </w:r>
      <w:r>
        <w:rPr>
          <w:rFonts w:ascii="Calibri" w:hAnsi="Calibri"/>
          <w:color w:val="525866"/>
          <w:sz w:val="22"/>
        </w:rPr>
        <w:t>HIGHEST — MAC operates enclosed regional malls, the most direct comparable to SPG’s mall portfolio.</w:t>
      </w:r>
    </w:p>
    <w:p>
      <w:pPr>
        <w:pStyle w:val="ListBullet"/>
        <w:ind w:left="360" w:hanging="360"/>
      </w:pPr>
      <w:r>
        <w:rPr>
          <w:rFonts w:ascii="Calibri" w:hAnsi="Calibri"/>
          <w:b/>
          <w:color w:val="525866"/>
          <w:sz w:val="22"/>
        </w:rPr>
        <w:t xml:space="preserve">Record portfolio sales PSF: </w:t>
      </w:r>
      <w:r>
        <w:rPr>
          <w:rFonts w:ascii="Calibri" w:hAnsi="Calibri"/>
          <w:color w:val="525866"/>
          <w:sz w:val="22"/>
        </w:rPr>
        <w:t xml:space="preserve">MAC reported portfolio sales of $919/sq ft (full portfolio) and $954/sq ft (go-forward portfolio) — a new company high. Late-stage transformation centers saw low double-digit sales increases YTD June 2026. </w:t>
      </w:r>
      <w:r>
        <w:rPr>
          <w:rFonts w:ascii="Calibri" w:hAnsi="Calibri"/>
          <w:b/>
          <w:color w:val="525866"/>
          <w:sz w:val="22"/>
        </w:rPr>
        <w:t xml:space="preserve">Read-through: </w:t>
      </w:r>
      <w:r>
        <w:rPr>
          <w:rFonts w:ascii="Calibri" w:hAnsi="Calibri"/>
          <w:color w:val="525866"/>
          <w:sz w:val="22"/>
        </w:rPr>
        <w:t>SPG’s malls and Premium Outlets ($819/sq ft in Q1 2026, +11.8% YoY) are likely to show continued strong sales productivity in Q2, supporting occupancy cost ratios and landlord pricing power.</w:t>
      </w:r>
    </w:p>
    <w:p>
      <w:pPr>
        <w:pStyle w:val="ListBullet"/>
        <w:ind w:left="360" w:hanging="360"/>
      </w:pPr>
      <w:r>
        <w:rPr>
          <w:rFonts w:ascii="Calibri" w:hAnsi="Calibri"/>
          <w:b/>
          <w:color w:val="525866"/>
          <w:sz w:val="22"/>
        </w:rPr>
        <w:t xml:space="preserve">Retailer demand described as “the deepest we’ve seen it”: </w:t>
      </w:r>
      <w:r>
        <w:rPr>
          <w:rFonts w:ascii="Calibri" w:hAnsi="Calibri"/>
          <w:color w:val="525866"/>
          <w:sz w:val="22"/>
        </w:rPr>
        <w:t xml:space="preserve">MAC’s leasing speedometer reached 88% of its 5-year plan (vs. 85% midyear target), with teams already leasing into 2029–2030. Brands are “pursuing quality over quantity and competing for limited space.” </w:t>
      </w:r>
      <w:r>
        <w:rPr>
          <w:rFonts w:ascii="Calibri" w:hAnsi="Calibri"/>
          <w:b/>
          <w:color w:val="525866"/>
          <w:sz w:val="22"/>
        </w:rPr>
        <w:t xml:space="preserve">Read-through: </w:t>
      </w:r>
      <w:r>
        <w:rPr>
          <w:rFonts w:ascii="Calibri" w:hAnsi="Calibri"/>
          <w:color w:val="525866"/>
          <w:sz w:val="22"/>
        </w:rPr>
        <w:t>Consistent with SPG’s Q1 commentary that its pipeline is “significantly larger than this time last year” — supports expectation of continued strong leasing spreads and SNO pipeline growth in Q2.</w:t>
      </w:r>
    </w:p>
    <w:p>
      <w:pPr>
        <w:pStyle w:val="ListBullet"/>
        <w:ind w:left="360" w:hanging="360"/>
      </w:pPr>
      <w:r>
        <w:rPr>
          <w:rFonts w:ascii="Calibri" w:hAnsi="Calibri"/>
          <w:b/>
          <w:color w:val="525866"/>
          <w:sz w:val="22"/>
        </w:rPr>
        <w:t xml:space="preserve">Go-forward portfolio NOI growth of 3.8% in Q2 2026; FY guidance maintained at “at least 3%”: </w:t>
      </w:r>
      <w:r>
        <w:rPr>
          <w:rFonts w:ascii="Calibri" w:hAnsi="Calibri"/>
          <w:color w:val="525866"/>
          <w:sz w:val="22"/>
        </w:rPr>
        <w:t xml:space="preserve">MAC expects 3.5%+ NOI growth in H2 2026, with Q4 stronger than Q3 due to SNO contribution. </w:t>
      </w:r>
      <w:r>
        <w:rPr>
          <w:rFonts w:ascii="Calibri" w:hAnsi="Calibri"/>
          <w:b/>
          <w:color w:val="525866"/>
          <w:sz w:val="22"/>
        </w:rPr>
        <w:t xml:space="preserve">Read-through: </w:t>
      </w:r>
      <w:r>
        <w:rPr>
          <w:rFonts w:ascii="Calibri" w:hAnsi="Calibri"/>
          <w:color w:val="525866"/>
          <w:sz w:val="22"/>
        </w:rPr>
        <w:t>SPG’s “at least 3%” guidance floor looks conservative given MAC’s delivery; SPG’s superior asset quality and scale suggest it should outperform MAC’s NOI growth rate.</w:t>
      </w:r>
    </w:p>
    <w:p>
      <w:pPr>
        <w:pStyle w:val="ListBullet"/>
        <w:ind w:left="360" w:hanging="360"/>
      </w:pPr>
      <w:r>
        <w:rPr>
          <w:rFonts w:ascii="Calibri" w:hAnsi="Calibri"/>
          <w:b/>
          <w:color w:val="525866"/>
          <w:sz w:val="22"/>
        </w:rPr>
        <w:t xml:space="preserve">Gen Z consumer over-indexes on physical stores: </w:t>
      </w:r>
      <w:r>
        <w:rPr>
          <w:rFonts w:ascii="Calibri" w:hAnsi="Calibri"/>
          <w:color w:val="525866"/>
          <w:sz w:val="22"/>
        </w:rPr>
        <w:t xml:space="preserve">MAC highlighted that Gen Z is “on track to become the largest spending demographic” and over-indexes on visiting physical stores and spending on goods, food, and experiences. </w:t>
      </w:r>
      <w:r>
        <w:rPr>
          <w:rFonts w:ascii="Calibri" w:hAnsi="Calibri"/>
          <w:b/>
          <w:color w:val="525866"/>
          <w:sz w:val="22"/>
        </w:rPr>
        <w:t xml:space="preserve">Read-through: </w:t>
      </w:r>
      <w:r>
        <w:rPr>
          <w:rFonts w:ascii="Calibri" w:hAnsi="Calibri"/>
          <w:color w:val="525866"/>
          <w:sz w:val="22"/>
        </w:rPr>
        <w:t>Positive demographic tailwind for SPG’s “Meet Me at the Mall” campaign and its focus on attracting younger shoppers.</w:t>
      </w:r>
    </w:p>
    <w:p>
      <w:pPr>
        <w:pStyle w:val="ListBullet"/>
        <w:ind w:left="360" w:hanging="360"/>
      </w:pPr>
      <w:r>
        <w:rPr>
          <w:rFonts w:ascii="Calibri" w:hAnsi="Calibri"/>
          <w:b/>
          <w:color w:val="525866"/>
          <w:sz w:val="22"/>
        </w:rPr>
        <w:t xml:space="preserve">No new supply: </w:t>
      </w:r>
      <w:r>
        <w:rPr>
          <w:rFonts w:ascii="Calibri" w:hAnsi="Calibri"/>
          <w:color w:val="525866"/>
          <w:sz w:val="22"/>
        </w:rPr>
        <w:t xml:space="preserve">MAC explicitly noted “no one is building new regional malls,” reinforcing the scarcity value of existing high-quality mall assets. </w:t>
      </w:r>
      <w:r>
        <w:rPr>
          <w:rFonts w:ascii="Calibri" w:hAnsi="Calibri"/>
          <w:b/>
          <w:color w:val="525866"/>
          <w:sz w:val="22"/>
        </w:rPr>
        <w:t xml:space="preserve">Read-through: </w:t>
      </w:r>
      <w:r>
        <w:rPr>
          <w:rFonts w:ascii="Calibri" w:hAnsi="Calibri"/>
          <w:color w:val="525866"/>
          <w:sz w:val="22"/>
        </w:rPr>
        <w:t>Structural tailwind for SPG’s pricing power and occupancy trajectory.</w:t>
      </w:r>
    </w:p>
    <w:p>
      <w:pPr>
        <w:pStyle w:val="ListBullet"/>
        <w:ind w:left="360" w:hanging="360"/>
      </w:pPr>
      <w:r>
        <w:rPr>
          <w:rFonts w:ascii="Calibri" w:hAnsi="Calibri"/>
          <w:b/>
          <w:color w:val="525866"/>
          <w:sz w:val="22"/>
        </w:rPr>
        <w:t xml:space="preserve">Zara flagship at Tysons ranked #1 in US sales on opening weekend: </w:t>
      </w:r>
      <w:r>
        <w:rPr>
          <w:rFonts w:ascii="Calibri" w:hAnsi="Calibri"/>
          <w:color w:val="525866"/>
          <w:sz w:val="22"/>
        </w:rPr>
        <w:t xml:space="preserve">The 45,000 sq ft Zara flagship opened in Q2, demonstrating the draw of premium anchor tenants. </w:t>
      </w:r>
      <w:r>
        <w:rPr>
          <w:rFonts w:ascii="Calibri" w:hAnsi="Calibri"/>
          <w:b/>
          <w:color w:val="525866"/>
          <w:sz w:val="22"/>
        </w:rPr>
        <w:t xml:space="preserve">Read-through: </w:t>
      </w:r>
      <w:r>
        <w:rPr>
          <w:rFonts w:ascii="Calibri" w:hAnsi="Calibri"/>
          <w:color w:val="525866"/>
          <w:sz w:val="22"/>
        </w:rPr>
        <w:t>Validates the luxury/flagship tenant strategy that SPG has pursued across its portfolio.</w:t>
      </w:r>
    </w:p>
    <w:p>
      <w:pPr>
        <w:pStyle w:val="Heading3"/>
      </w:pPr>
      <w:r>
        <w:rPr>
          <w:rFonts w:ascii="Calibri" w:hAnsi="Calibri"/>
          <w:b/>
          <w:color w:val="3B4259"/>
          <w:sz w:val="24"/>
        </w:rPr>
        <w:t>Tanger (SKT) — Q2 2026 Earnings (Reported Aug 5, 2026)</w:t>
      </w:r>
    </w:p>
    <w:p>
      <w:r>
        <w:rPr>
          <w:rFonts w:ascii="Calibri" w:hAnsi="Calibri"/>
          <w:b/>
          <w:color w:val="525866"/>
          <w:sz w:val="22"/>
        </w:rPr>
        <w:t xml:space="preserve">Relevance to SPG: </w:t>
      </w:r>
      <w:r>
        <w:rPr>
          <w:rFonts w:ascii="Calibri" w:hAnsi="Calibri"/>
          <w:color w:val="525866"/>
          <w:sz w:val="22"/>
        </w:rPr>
        <w:t>HIGH — SKT operates outlet centers, the most direct comparable to SPG’s Premium Outlets platform.</w:t>
      </w:r>
    </w:p>
    <w:p>
      <w:pPr>
        <w:pStyle w:val="ListBullet"/>
        <w:ind w:left="360" w:hanging="360"/>
      </w:pPr>
      <w:r>
        <w:rPr>
          <w:rFonts w:ascii="Calibri" w:hAnsi="Calibri"/>
          <w:b/>
          <w:color w:val="525866"/>
          <w:sz w:val="22"/>
        </w:rPr>
        <w:t xml:space="preserve">18th consecutive quarter of positive blended rent spreads at 10.5%: </w:t>
      </w:r>
      <w:r>
        <w:rPr>
          <w:rFonts w:ascii="Calibri" w:hAnsi="Calibri"/>
          <w:color w:val="525866"/>
          <w:sz w:val="22"/>
        </w:rPr>
        <w:t xml:space="preserve">SKT’s blended spreads remained firmly positive, with management stating “our rents have a lot of run rate left in them.” </w:t>
      </w:r>
      <w:r>
        <w:rPr>
          <w:rFonts w:ascii="Calibri" w:hAnsi="Calibri"/>
          <w:b/>
          <w:color w:val="525866"/>
          <w:sz w:val="22"/>
        </w:rPr>
        <w:t xml:space="preserve">Read-through: </w:t>
      </w:r>
      <w:r>
        <w:rPr>
          <w:rFonts w:ascii="Calibri" w:hAnsi="Calibri"/>
          <w:color w:val="525866"/>
          <w:sz w:val="22"/>
        </w:rPr>
        <w:t>SPG’s Premium Outlets should show continued positive releasing spreads in Q2; SPG’s Q1 cash releasing spread of 15.2% was already well above SKT’s, suggesting SPG’s outlet assets command superior pricing power.</w:t>
      </w:r>
    </w:p>
    <w:p>
      <w:pPr>
        <w:pStyle w:val="ListBullet"/>
        <w:ind w:left="360" w:hanging="360"/>
      </w:pPr>
      <w:r>
        <w:rPr>
          <w:rFonts w:ascii="Calibri" w:hAnsi="Calibri"/>
          <w:b/>
          <w:color w:val="525866"/>
          <w:sz w:val="22"/>
        </w:rPr>
        <w:t xml:space="preserve">Traffic positive in Q2 and continuing into July / back-to-school: </w:t>
      </w:r>
      <w:r>
        <w:rPr>
          <w:rFonts w:ascii="Calibri" w:hAnsi="Calibri"/>
          <w:color w:val="525866"/>
          <w:sz w:val="22"/>
        </w:rPr>
        <w:t xml:space="preserve">SKT reported positive traffic trends through Q2 and into July, with back-to-school promotions positioning outlet centers as a key destination. </w:t>
      </w:r>
      <w:r>
        <w:rPr>
          <w:rFonts w:ascii="Calibri" w:hAnsi="Calibri"/>
          <w:b/>
          <w:color w:val="525866"/>
          <w:sz w:val="22"/>
        </w:rPr>
        <w:t xml:space="preserve">Read-through: </w:t>
      </w:r>
      <w:r>
        <w:rPr>
          <w:rFonts w:ascii="Calibri" w:hAnsi="Calibri"/>
          <w:color w:val="525866"/>
          <w:sz w:val="22"/>
        </w:rPr>
        <w:t>Positive for SPG’s Premium Outlets heading into the seasonally important back-half; partially offsets Q1 concern about softer international tourist traffic at Woodbury.</w:t>
      </w:r>
    </w:p>
    <w:p>
      <w:pPr>
        <w:pStyle w:val="ListBullet"/>
        <w:ind w:left="360" w:hanging="360"/>
      </w:pPr>
      <w:r>
        <w:rPr>
          <w:rFonts w:ascii="Calibri" w:hAnsi="Calibri"/>
          <w:b/>
          <w:color w:val="525866"/>
          <w:sz w:val="22"/>
        </w:rPr>
        <w:t xml:space="preserve">Consumer described as “quite resilient”; domestic travel benefiting outlets: </w:t>
      </w:r>
      <w:r>
        <w:rPr>
          <w:rFonts w:ascii="Calibri" w:hAnsi="Calibri"/>
          <w:color w:val="525866"/>
          <w:sz w:val="22"/>
        </w:rPr>
        <w:t xml:space="preserve">Higher gas prices and interest rates have led more consumers to stay domestic, driving traffic to outlet centers. Retailer open-to-buys “don’t seem to be slowing down.” </w:t>
      </w:r>
      <w:r>
        <w:rPr>
          <w:rFonts w:ascii="Calibri" w:hAnsi="Calibri"/>
          <w:b/>
          <w:color w:val="525866"/>
          <w:sz w:val="22"/>
        </w:rPr>
        <w:t xml:space="preserve">Read-through: </w:t>
      </w:r>
      <w:r>
        <w:rPr>
          <w:rFonts w:ascii="Calibri" w:hAnsi="Calibri"/>
          <w:color w:val="525866"/>
          <w:sz w:val="22"/>
        </w:rPr>
        <w:t>Domestic tourism tailwind could partially offset the international visitor softness SPG flagged at Woodbury in Q1.</w:t>
      </w:r>
    </w:p>
    <w:p>
      <w:pPr>
        <w:pStyle w:val="ListBullet"/>
        <w:ind w:left="360" w:hanging="360"/>
      </w:pPr>
      <w:r>
        <w:rPr>
          <w:rFonts w:ascii="Calibri" w:hAnsi="Calibri"/>
          <w:b/>
          <w:color w:val="525866"/>
          <w:sz w:val="22"/>
        </w:rPr>
        <w:t xml:space="preserve">Saks Off 5th recapture: 2–4x rent multiplier opportunity: </w:t>
      </w:r>
      <w:r>
        <w:rPr>
          <w:rFonts w:ascii="Calibri" w:hAnsi="Calibri"/>
          <w:color w:val="525866"/>
          <w:sz w:val="22"/>
        </w:rPr>
        <w:t xml:space="preserve">SKT proactively recaptured 150,000 sq ft of Saks Off 5th space; backfill deals already in pipeline with expected 2–4x rent uplift vs. prior Saks rents. Permanent re-tenanting impact mostly in 2028. </w:t>
      </w:r>
      <w:r>
        <w:rPr>
          <w:rFonts w:ascii="Calibri" w:hAnsi="Calibri"/>
          <w:b/>
          <w:color w:val="525866"/>
          <w:sz w:val="22"/>
        </w:rPr>
        <w:t xml:space="preserve">Read-through: </w:t>
      </w:r>
      <w:r>
        <w:rPr>
          <w:rFonts w:ascii="Calibri" w:hAnsi="Calibri"/>
          <w:color w:val="525866"/>
          <w:sz w:val="22"/>
        </w:rPr>
        <w:t>SPG also has Saks Global exposure (management noted Saks bankruptcy at Q1 earnings); SKT’s experience suggests SPG can re-lease at significantly higher rents, though the timeline is 12–24 months.</w:t>
      </w:r>
    </w:p>
    <w:p>
      <w:pPr>
        <w:pStyle w:val="ListBullet"/>
        <w:ind w:left="360" w:hanging="360"/>
      </w:pPr>
      <w:r>
        <w:rPr>
          <w:rFonts w:ascii="Calibri" w:hAnsi="Calibri"/>
          <w:b/>
          <w:color w:val="525866"/>
          <w:sz w:val="22"/>
        </w:rPr>
        <w:t xml:space="preserve">Tenant watch list at low levels; guidance raised: </w:t>
      </w:r>
      <w:r>
        <w:rPr>
          <w:rFonts w:ascii="Calibri" w:hAnsi="Calibri"/>
          <w:color w:val="525866"/>
          <w:sz w:val="22"/>
        </w:rPr>
        <w:t xml:space="preserve">SKT raised FY 2026 core FFO guidance to $2.45–$2.52/share (midpoint +7% YoY) and raised same-center NOI growth floor to 2.75% from 2.25%. </w:t>
      </w:r>
      <w:r>
        <w:rPr>
          <w:rFonts w:ascii="Calibri" w:hAnsi="Calibri"/>
          <w:b/>
          <w:color w:val="525866"/>
          <w:sz w:val="22"/>
        </w:rPr>
        <w:t xml:space="preserve">Read-through: </w:t>
      </w:r>
      <w:r>
        <w:rPr>
          <w:rFonts w:ascii="Calibri" w:hAnsi="Calibri"/>
          <w:color w:val="525866"/>
          <w:sz w:val="22"/>
        </w:rPr>
        <w:t>Guidance raises across the outlet/mall sector are a positive signal for SPG’s own FY 2026 guidance trajectory.</w:t>
      </w:r>
    </w:p>
    <w:p>
      <w:pPr>
        <w:pStyle w:val="ListBullet"/>
        <w:ind w:left="360" w:hanging="360"/>
      </w:pPr>
      <w:r>
        <w:rPr>
          <w:rFonts w:ascii="Calibri" w:hAnsi="Calibri"/>
          <w:b/>
          <w:color w:val="525866"/>
          <w:sz w:val="22"/>
        </w:rPr>
        <w:t xml:space="preserve">Tremendous demand in outlet channel from new brands (hard goods, F&amp;B, entertainment): </w:t>
      </w:r>
      <w:r>
        <w:rPr>
          <w:rFonts w:ascii="Calibri" w:hAnsi="Calibri"/>
          <w:color w:val="525866"/>
          <w:sz w:val="22"/>
        </w:rPr>
        <w:t xml:space="preserve">SKT highlighted Serena &amp; Lily, Pottery Barn, Williams-Sonoma, Dave &amp; Buster’s, Dave’s Hot Chicken, and Shake Shack as new outlet entrants. Non-apparel GLA now 32% (up from ~19% several years ago). </w:t>
      </w:r>
      <w:r>
        <w:rPr>
          <w:rFonts w:ascii="Calibri" w:hAnsi="Calibri"/>
          <w:b/>
          <w:color w:val="525866"/>
          <w:sz w:val="22"/>
        </w:rPr>
        <w:t xml:space="preserve">Read-through: </w:t>
      </w:r>
      <w:r>
        <w:rPr>
          <w:rFonts w:ascii="Calibri" w:hAnsi="Calibri"/>
          <w:color w:val="525866"/>
          <w:sz w:val="22"/>
        </w:rPr>
        <w:t>Validates SPG’s strategy of diversifying tenant mix beyond apparel; new category entrants support occupancy and rent growth.</w:t>
      </w:r>
    </w:p>
    <w:p>
      <w:pPr>
        <w:pStyle w:val="ListBullet"/>
        <w:ind w:left="360" w:hanging="360"/>
      </w:pPr>
      <w:r>
        <w:rPr>
          <w:rFonts w:ascii="Calibri" w:hAnsi="Calibri"/>
          <w:b/>
          <w:color w:val="525866"/>
          <w:sz w:val="22"/>
        </w:rPr>
        <w:t xml:space="preserve">World Cup drove international and domestic tourism traffic: </w:t>
      </w:r>
      <w:r>
        <w:rPr>
          <w:rFonts w:ascii="Calibri" w:hAnsi="Calibri"/>
          <w:color w:val="525866"/>
          <w:sz w:val="22"/>
        </w:rPr>
        <w:t xml:space="preserve">SKT benefited from World Cup-related tourism in Q2. Future sports/entertainment adjacencies (Chiefs Stadium in Kansas City, Sphere at Nashville Harbor) expected to drive further traffic. </w:t>
      </w:r>
      <w:r>
        <w:rPr>
          <w:rFonts w:ascii="Calibri" w:hAnsi="Calibri"/>
          <w:b/>
          <w:color w:val="525866"/>
          <w:sz w:val="22"/>
        </w:rPr>
        <w:t xml:space="preserve">Read-through: </w:t>
      </w:r>
      <w:r>
        <w:rPr>
          <w:rFonts w:ascii="Calibri" w:hAnsi="Calibri"/>
          <w:color w:val="525866"/>
          <w:sz w:val="22"/>
        </w:rPr>
        <w:t>SPG’s outlet centers in major metro markets may have seen similar World Cup tourism benefit in Q2, potentially partially offsetting the softer European/Canadian visitor trends flagged in Q1.</w:t>
      </w:r>
    </w:p>
    <w:p>
      <w:pPr>
        <w:pStyle w:val="Heading2"/>
      </w:pPr>
      <w:r>
        <w:rPr>
          <w:rFonts w:ascii="Calibri" w:hAnsi="Calibri"/>
          <w:b/>
          <w:color w:val="3B4259"/>
          <w:sz w:val="28"/>
        </w:rPr>
        <w:t>Indirect Open-Air / Shopping Center Read-Throughs (Moderate Relevance)</w:t>
      </w:r>
    </w:p>
    <w:p>
      <w:pPr>
        <w:pStyle w:val="Heading3"/>
      </w:pPr>
      <w:r>
        <w:rPr>
          <w:rFonts w:ascii="Calibri" w:hAnsi="Calibri"/>
          <w:b/>
          <w:color w:val="3B4259"/>
          <w:sz w:val="24"/>
        </w:rPr>
        <w:t>Kimco Realty (KIM) — Q2 2026 Earnings (Reported Aug 4, 2026)</w:t>
      </w:r>
    </w:p>
    <w:p>
      <w:r>
        <w:rPr>
          <w:rFonts w:ascii="Calibri" w:hAnsi="Calibri"/>
          <w:b/>
          <w:color w:val="525866"/>
          <w:sz w:val="22"/>
        </w:rPr>
        <w:t xml:space="preserve">Relevance to SPG: </w:t>
      </w:r>
      <w:r>
        <w:rPr>
          <w:rFonts w:ascii="Calibri" w:hAnsi="Calibri"/>
          <w:color w:val="525866"/>
          <w:sz w:val="22"/>
        </w:rPr>
        <w:t>MODERATE — KIM operates open-air grocery-anchored centers; consumer and tenant health data is broadly applicable.</w:t>
      </w:r>
    </w:p>
    <w:p>
      <w:pPr>
        <w:pStyle w:val="ListBullet"/>
        <w:ind w:left="360" w:hanging="360"/>
      </w:pPr>
      <w:r>
        <w:rPr>
          <w:rFonts w:ascii="Calibri" w:hAnsi="Calibri"/>
          <w:b/>
          <w:color w:val="525866"/>
          <w:sz w:val="22"/>
        </w:rPr>
        <w:t xml:space="preserve">Consumer remains “incredibly resilient”; spending up 5.5% for middle-income, 3.5% for low-income: </w:t>
      </w:r>
      <w:r>
        <w:rPr>
          <w:rFonts w:ascii="Calibri" w:hAnsi="Calibri"/>
          <w:color w:val="525866"/>
          <w:sz w:val="22"/>
        </w:rPr>
        <w:t xml:space="preserve">KIM cited low unemployment as the key support for consumer spending despite higher rates and gas prices. Foot traffic up 3% YoY (3.2% in June). </w:t>
      </w:r>
      <w:r>
        <w:rPr>
          <w:rFonts w:ascii="Calibri" w:hAnsi="Calibri"/>
          <w:b/>
          <w:color w:val="525866"/>
          <w:sz w:val="22"/>
        </w:rPr>
        <w:t xml:space="preserve">Read-through: </w:t>
      </w:r>
      <w:r>
        <w:rPr>
          <w:rFonts w:ascii="Calibri" w:hAnsi="Calibri"/>
          <w:color w:val="525866"/>
          <w:sz w:val="22"/>
        </w:rPr>
        <w:t>Healthy consumer backdrop supports discretionary spending at SPG’s malls and outlets, particularly for the upper-income consumer that SPG’s portfolio skews toward.</w:t>
      </w:r>
    </w:p>
    <w:p>
      <w:pPr>
        <w:pStyle w:val="ListBullet"/>
        <w:ind w:left="360" w:hanging="360"/>
      </w:pPr>
      <w:r>
        <w:rPr>
          <w:rFonts w:ascii="Calibri" w:hAnsi="Calibri"/>
          <w:b/>
          <w:color w:val="525866"/>
          <w:sz w:val="22"/>
        </w:rPr>
        <w:t xml:space="preserve">Credit loss improved to 57 bps in Q2 (vs. 89 bps in Q2 2025); YTD at 54 bps: </w:t>
      </w:r>
      <w:r>
        <w:rPr>
          <w:rFonts w:ascii="Calibri" w:hAnsi="Calibri"/>
          <w:color w:val="525866"/>
          <w:sz w:val="22"/>
        </w:rPr>
        <w:t xml:space="preserve">KIM tightened its full-year credit loss assumption to 55–75 bps from 65–90 bps. Painted Tree bankruptcy had a 16 bps occupancy impact but was largely absorbed. </w:t>
      </w:r>
      <w:r>
        <w:rPr>
          <w:rFonts w:ascii="Calibri" w:hAnsi="Calibri"/>
          <w:b/>
          <w:color w:val="525866"/>
          <w:sz w:val="22"/>
        </w:rPr>
        <w:t xml:space="preserve">Read-through: </w:t>
      </w:r>
      <w:r>
        <w:rPr>
          <w:rFonts w:ascii="Calibri" w:hAnsi="Calibri"/>
          <w:color w:val="525866"/>
          <w:sz w:val="22"/>
        </w:rPr>
        <w:t>Improving tenant credit trends across the sector are a positive signal for SPG’s own credit loss assumptions; Saks Global and Eddie Bauer bankruptcies flagged at Q1 may be manageable.</w:t>
      </w:r>
    </w:p>
    <w:p>
      <w:pPr>
        <w:pStyle w:val="ListBullet"/>
        <w:ind w:left="360" w:hanging="360"/>
      </w:pPr>
      <w:r>
        <w:rPr>
          <w:rFonts w:ascii="Calibri" w:hAnsi="Calibri"/>
          <w:b/>
          <w:color w:val="525866"/>
          <w:sz w:val="22"/>
        </w:rPr>
        <w:t xml:space="preserve">New leasing spreads of 40.4% — 19th consecutive quarter of double-digit new lease spreads: </w:t>
      </w:r>
      <w:r>
        <w:rPr>
          <w:rFonts w:ascii="Calibri" w:hAnsi="Calibri"/>
          <w:color w:val="525866"/>
          <w:sz w:val="22"/>
        </w:rPr>
        <w:t xml:space="preserve">KIM signed 461 leases at a blended spread of 13.1%, with new leases at 40.4%. First-ever Uniqlo lease signed in lifestyle portfolio. </w:t>
      </w:r>
      <w:r>
        <w:rPr>
          <w:rFonts w:ascii="Calibri" w:hAnsi="Calibri"/>
          <w:b/>
          <w:color w:val="525866"/>
          <w:sz w:val="22"/>
        </w:rPr>
        <w:t xml:space="preserve">Read-through: </w:t>
      </w:r>
      <w:r>
        <w:rPr>
          <w:rFonts w:ascii="Calibri" w:hAnsi="Calibri"/>
          <w:color w:val="525866"/>
          <w:sz w:val="22"/>
        </w:rPr>
        <w:t>Broad retailer expansion appetite (including international brands like Uniqlo) is a positive for SPG’s leasing pipeline.</w:t>
      </w:r>
    </w:p>
    <w:p>
      <w:pPr>
        <w:pStyle w:val="ListBullet"/>
        <w:ind w:left="360" w:hanging="360"/>
      </w:pPr>
      <w:r>
        <w:rPr>
          <w:rFonts w:ascii="Calibri" w:hAnsi="Calibri"/>
          <w:b/>
          <w:color w:val="525866"/>
          <w:sz w:val="22"/>
        </w:rPr>
        <w:t xml:space="preserve">Same-property NOI growth of 3.5% in Q2; FY guidance raised to 3.0–3.5%: </w:t>
      </w:r>
      <w:r>
        <w:rPr>
          <w:rFonts w:ascii="Calibri" w:hAnsi="Calibri"/>
          <w:color w:val="525866"/>
          <w:sz w:val="22"/>
        </w:rPr>
        <w:t xml:space="preserve">KIM expects acceleration to mid-3s to 4%+ in H2 2026. SNO pipeline of $95M ABR ($75M incremental) with $33M in 2026 rent commencements (16% above initial estimate). </w:t>
      </w:r>
      <w:r>
        <w:rPr>
          <w:rFonts w:ascii="Calibri" w:hAnsi="Calibri"/>
          <w:b/>
          <w:color w:val="525866"/>
          <w:sz w:val="22"/>
        </w:rPr>
        <w:t xml:space="preserve">Read-through: </w:t>
      </w:r>
      <w:r>
        <w:rPr>
          <w:rFonts w:ascii="Calibri" w:hAnsi="Calibri"/>
          <w:color w:val="525866"/>
          <w:sz w:val="22"/>
        </w:rPr>
        <w:t>SNO pipeline conversion is a sector-wide tailwind; SPG’s 310 bps SNO pipeline at Q1 end should contribute meaningfully to H2 2026 NOI.</w:t>
      </w:r>
    </w:p>
    <w:p>
      <w:pPr>
        <w:pStyle w:val="Heading3"/>
      </w:pPr>
      <w:r>
        <w:rPr>
          <w:rFonts w:ascii="Calibri" w:hAnsi="Calibri"/>
          <w:b/>
          <w:color w:val="3B4259"/>
          <w:sz w:val="24"/>
        </w:rPr>
        <w:t>Brixmor Property Group (BRX) — Q2 2026 Earnings (Reported Jul 28, 2026)</w:t>
      </w:r>
    </w:p>
    <w:p>
      <w:r>
        <w:rPr>
          <w:rFonts w:ascii="Calibri" w:hAnsi="Calibri"/>
          <w:b/>
          <w:color w:val="525866"/>
          <w:sz w:val="22"/>
        </w:rPr>
        <w:t xml:space="preserve">Relevance to SPG: </w:t>
      </w:r>
      <w:r>
        <w:rPr>
          <w:rFonts w:ascii="Calibri" w:hAnsi="Calibri"/>
          <w:color w:val="525866"/>
          <w:sz w:val="22"/>
        </w:rPr>
        <w:t>MODERATE — BRX operates open-air grocery-anchored centers; leasing and tenant health data is broadly applicable.</w:t>
      </w:r>
    </w:p>
    <w:p>
      <w:pPr>
        <w:pStyle w:val="ListBullet"/>
        <w:ind w:left="360" w:hanging="360"/>
      </w:pPr>
      <w:r>
        <w:rPr>
          <w:rFonts w:ascii="Calibri" w:hAnsi="Calibri"/>
          <w:b/>
          <w:color w:val="525866"/>
          <w:sz w:val="22"/>
        </w:rPr>
        <w:t xml:space="preserve">5.8% same-property NOI growth in Q2; FY guidance raised to 5.0–5.75%: </w:t>
      </w:r>
      <w:r>
        <w:rPr>
          <w:rFonts w:ascii="Calibri" w:hAnsi="Calibri"/>
          <w:color w:val="525866"/>
          <w:sz w:val="22"/>
        </w:rPr>
        <w:t xml:space="preserve">BRX delivered the strongest same-store NOI growth in the peer group, driven by 440 bps contribution from base rent. Record small shop occupancy of 92.6%. </w:t>
      </w:r>
      <w:r>
        <w:rPr>
          <w:rFonts w:ascii="Calibri" w:hAnsi="Calibri"/>
          <w:b/>
          <w:color w:val="525866"/>
          <w:sz w:val="22"/>
        </w:rPr>
        <w:t xml:space="preserve">Read-through: </w:t>
      </w:r>
      <w:r>
        <w:rPr>
          <w:rFonts w:ascii="Calibri" w:hAnsi="Calibri"/>
          <w:color w:val="525866"/>
          <w:sz w:val="22"/>
        </w:rPr>
        <w:t>Sector-wide NOI growth is accelerating; SPG’s “at least 3%” guidance floor looks increasingly conservative.</w:t>
      </w:r>
    </w:p>
    <w:p>
      <w:pPr>
        <w:pStyle w:val="ListBullet"/>
        <w:ind w:left="360" w:hanging="360"/>
      </w:pPr>
      <w:r>
        <w:rPr>
          <w:rFonts w:ascii="Calibri" w:hAnsi="Calibri"/>
          <w:b/>
          <w:color w:val="525866"/>
          <w:sz w:val="22"/>
        </w:rPr>
        <w:t xml:space="preserve">New lease spreads above 30% for 3 consecutive years; record embedded rent growth of 2.8%: </w:t>
      </w:r>
      <w:r>
        <w:rPr>
          <w:rFonts w:ascii="Calibri" w:hAnsi="Calibri"/>
          <w:color w:val="525866"/>
          <w:sz w:val="22"/>
        </w:rPr>
        <w:t xml:space="preserve">BRX achieved blended cash spreads of 19% (new leases 31%, renewals 16%). CEO stated “this is the strongest underlying tenant base the company has ever had.” </w:t>
      </w:r>
      <w:r>
        <w:rPr>
          <w:rFonts w:ascii="Calibri" w:hAnsi="Calibri"/>
          <w:b/>
          <w:color w:val="525866"/>
          <w:sz w:val="22"/>
        </w:rPr>
        <w:t xml:space="preserve">Read-through: </w:t>
      </w:r>
      <w:r>
        <w:rPr>
          <w:rFonts w:ascii="Calibri" w:hAnsi="Calibri"/>
          <w:color w:val="525866"/>
          <w:sz w:val="22"/>
        </w:rPr>
        <w:t>Broad-based pricing power across retail formats is a positive for SPG’s own releasing spread trajectory.</w:t>
      </w:r>
    </w:p>
    <w:p>
      <w:pPr>
        <w:pStyle w:val="ListBullet"/>
        <w:ind w:left="360" w:hanging="360"/>
      </w:pPr>
      <w:r>
        <w:rPr>
          <w:rFonts w:ascii="Calibri" w:hAnsi="Calibri"/>
          <w:b/>
          <w:color w:val="525866"/>
          <w:sz w:val="22"/>
        </w:rPr>
        <w:t xml:space="preserve">Painted Tree and Wren Kitchens recaptures already re-leased at 40%+ spreads: </w:t>
      </w:r>
      <w:r>
        <w:rPr>
          <w:rFonts w:ascii="Calibri" w:hAnsi="Calibri"/>
          <w:color w:val="525866"/>
          <w:sz w:val="22"/>
        </w:rPr>
        <w:t xml:space="preserve">BRX is already at lease on 6 of 8 recaptured bankruptcy boxes at spreads above 40%. Small shop move-outs at record lows; retention rate up 300 bps YoY. </w:t>
      </w:r>
      <w:r>
        <w:rPr>
          <w:rFonts w:ascii="Calibri" w:hAnsi="Calibri"/>
          <w:b/>
          <w:color w:val="525866"/>
          <w:sz w:val="22"/>
        </w:rPr>
        <w:t xml:space="preserve">Read-through: </w:t>
      </w:r>
      <w:r>
        <w:rPr>
          <w:rFonts w:ascii="Calibri" w:hAnsi="Calibri"/>
          <w:color w:val="525866"/>
          <w:sz w:val="22"/>
        </w:rPr>
        <w:t>Rapid re-leasing of bankruptcy recaptures at higher rents is a sector-wide trend that supports SPG’s ability to re-lease Saks Global and Eddie Bauer spaces.</w:t>
      </w:r>
    </w:p>
    <w:p>
      <w:pPr>
        <w:pStyle w:val="ListBullet"/>
        <w:ind w:left="360" w:hanging="360"/>
      </w:pPr>
      <w:r>
        <w:rPr>
          <w:rFonts w:ascii="Calibri" w:hAnsi="Calibri"/>
          <w:b/>
          <w:color w:val="525866"/>
          <w:sz w:val="22"/>
        </w:rPr>
        <w:t xml:space="preserve">Retailers prioritizing stores as “hub of customer engagement, fulfillment and distribution”; new supply remains limited: </w:t>
      </w:r>
      <w:r>
        <w:rPr>
          <w:rFonts w:ascii="Calibri" w:hAnsi="Calibri"/>
          <w:color w:val="525866"/>
          <w:sz w:val="22"/>
        </w:rPr>
        <w:t xml:space="preserve">BRX highlighted the structural shift toward physical retail as a strategic priority for retailers. </w:t>
      </w:r>
      <w:r>
        <w:rPr>
          <w:rFonts w:ascii="Calibri" w:hAnsi="Calibri"/>
          <w:b/>
          <w:color w:val="525866"/>
          <w:sz w:val="22"/>
        </w:rPr>
        <w:t xml:space="preserve">Read-through: </w:t>
      </w:r>
      <w:r>
        <w:rPr>
          <w:rFonts w:ascii="Calibri" w:hAnsi="Calibri"/>
          <w:color w:val="525866"/>
          <w:sz w:val="22"/>
        </w:rPr>
        <w:t>Structural tailwind for all physical retail formats, including SPG’s malls and outlets.</w:t>
      </w:r>
    </w:p>
    <w:p>
      <w:pPr>
        <w:pStyle w:val="Heading3"/>
      </w:pPr>
      <w:r>
        <w:rPr>
          <w:rFonts w:ascii="Calibri" w:hAnsi="Calibri"/>
          <w:b/>
          <w:color w:val="3B4259"/>
          <w:sz w:val="24"/>
        </w:rPr>
        <w:t>Regency Centers (REG) — Q2 2026 Earnings (Reported Jul 30, 2026)</w:t>
      </w:r>
    </w:p>
    <w:p>
      <w:r>
        <w:rPr>
          <w:rFonts w:ascii="Calibri" w:hAnsi="Calibri"/>
          <w:b/>
          <w:color w:val="525866"/>
          <w:sz w:val="22"/>
        </w:rPr>
        <w:t xml:space="preserve">Relevance to SPG: </w:t>
      </w:r>
      <w:r>
        <w:rPr>
          <w:rFonts w:ascii="Calibri" w:hAnsi="Calibri"/>
          <w:color w:val="525866"/>
          <w:sz w:val="22"/>
        </w:rPr>
        <w:t>LOWER — REG operates grocery-anchored neighborhood centers; consumer and macro data is broadly applicable.</w:t>
      </w:r>
    </w:p>
    <w:p>
      <w:pPr>
        <w:pStyle w:val="ListBullet"/>
        <w:ind w:left="360" w:hanging="360"/>
      </w:pPr>
      <w:r>
        <w:rPr>
          <w:rFonts w:ascii="Calibri" w:hAnsi="Calibri"/>
          <w:b/>
          <w:color w:val="525866"/>
          <w:sz w:val="22"/>
        </w:rPr>
        <w:t xml:space="preserve">Same-property lease rate nearly 97%; cash rent spreads above 10%, GAAP spreads nearly 20%: </w:t>
      </w:r>
      <w:r>
        <w:rPr>
          <w:rFonts w:ascii="Calibri" w:hAnsi="Calibri"/>
          <w:color w:val="525866"/>
          <w:sz w:val="22"/>
        </w:rPr>
        <w:t xml:space="preserve">REG pushed occupancy to new highs with an 84% tenant retention rate. Commenced occupancy up 20 bps in Q2. </w:t>
      </w:r>
      <w:r>
        <w:rPr>
          <w:rFonts w:ascii="Calibri" w:hAnsi="Calibri"/>
          <w:b/>
          <w:color w:val="525866"/>
          <w:sz w:val="22"/>
        </w:rPr>
        <w:t xml:space="preserve">Read-through: </w:t>
      </w:r>
      <w:r>
        <w:rPr>
          <w:rFonts w:ascii="Calibri" w:hAnsi="Calibri"/>
          <w:color w:val="525866"/>
          <w:sz w:val="22"/>
        </w:rPr>
        <w:t>High occupancy and strong rent growth across the sector support SPG’s own occupancy and pricing power narrative.</w:t>
      </w:r>
    </w:p>
    <w:p>
      <w:pPr>
        <w:pStyle w:val="ListBullet"/>
        <w:ind w:left="360" w:hanging="360"/>
      </w:pPr>
      <w:r>
        <w:rPr>
          <w:rFonts w:ascii="Calibri" w:hAnsi="Calibri"/>
          <w:b/>
          <w:color w:val="525866"/>
          <w:sz w:val="22"/>
        </w:rPr>
        <w:t xml:space="preserve">FY 2026 guidance raised; core operating EPS growth now expected to exceed 5%: </w:t>
      </w:r>
      <w:r>
        <w:rPr>
          <w:rFonts w:ascii="Calibri" w:hAnsi="Calibri"/>
          <w:color w:val="525866"/>
          <w:sz w:val="22"/>
        </w:rPr>
        <w:t xml:space="preserve">REG raised same-property NOI growth by 40 bps at the midpoint, citing higher commenced occupancy and better expense recoveries. Total NOI growth now expected in the mid-6% area. </w:t>
      </w:r>
      <w:r>
        <w:rPr>
          <w:rFonts w:ascii="Calibri" w:hAnsi="Calibri"/>
          <w:b/>
          <w:color w:val="525866"/>
          <w:sz w:val="22"/>
        </w:rPr>
        <w:t xml:space="preserve">Read-through: </w:t>
      </w:r>
      <w:r>
        <w:rPr>
          <w:rFonts w:ascii="Calibri" w:hAnsi="Calibri"/>
          <w:color w:val="525866"/>
          <w:sz w:val="22"/>
        </w:rPr>
        <w:t>Broad-based guidance raises across the retail REIT sector are a positive signal for SPG’s own FY 2026 trajectory.</w:t>
      </w:r>
    </w:p>
    <w:p>
      <w:pPr>
        <w:pStyle w:val="ListBullet"/>
        <w:ind w:left="360" w:hanging="360"/>
      </w:pPr>
      <w:r>
        <w:rPr>
          <w:rFonts w:ascii="Calibri" w:hAnsi="Calibri"/>
          <w:b/>
          <w:color w:val="525866"/>
          <w:sz w:val="22"/>
        </w:rPr>
        <w:t xml:space="preserve">Tenant sales growth “widespread”; foot traffic showing steady increases; accounts receivable below historical averages: </w:t>
      </w:r>
      <w:r>
        <w:rPr>
          <w:rFonts w:ascii="Calibri" w:hAnsi="Calibri"/>
          <w:color w:val="525866"/>
          <w:sz w:val="22"/>
        </w:rPr>
        <w:t xml:space="preserve">REG described a “very healthy tenant base” with no signs of credit deterioration. </w:t>
      </w:r>
      <w:r>
        <w:rPr>
          <w:rFonts w:ascii="Calibri" w:hAnsi="Calibri"/>
          <w:b/>
          <w:color w:val="525866"/>
          <w:sz w:val="22"/>
        </w:rPr>
        <w:t xml:space="preserve">Read-through: </w:t>
      </w:r>
      <w:r>
        <w:rPr>
          <w:rFonts w:ascii="Calibri" w:hAnsi="Calibri"/>
          <w:color w:val="525866"/>
          <w:sz w:val="22"/>
        </w:rPr>
        <w:t>Healthy consumer and tenant environment broadly supports SPG’s Q2 setup.</w:t>
      </w:r>
    </w:p>
    <w:p>
      <w:pPr>
        <w:pStyle w:val="ListBullet"/>
        <w:ind w:left="360" w:hanging="360"/>
      </w:pPr>
      <w:r>
        <w:rPr>
          <w:rFonts w:ascii="Calibri" w:hAnsi="Calibri"/>
          <w:b/>
          <w:color w:val="525866"/>
          <w:sz w:val="22"/>
        </w:rPr>
        <w:t xml:space="preserve">Development/redevelopment starts raised to ~$400M for 2026; in-process pipeline nearly 80% leased at 9% blended returns: </w:t>
      </w:r>
      <w:r>
        <w:rPr>
          <w:rFonts w:ascii="Calibri" w:hAnsi="Calibri"/>
          <w:color w:val="525866"/>
          <w:sz w:val="22"/>
        </w:rPr>
        <w:t xml:space="preserve">REG is accelerating its development program, consistent with SPG’s own $1B+ active pipeline at 9% blended yield. </w:t>
      </w:r>
      <w:r>
        <w:rPr>
          <w:rFonts w:ascii="Calibri" w:hAnsi="Calibri"/>
          <w:b/>
          <w:color w:val="525866"/>
          <w:sz w:val="22"/>
        </w:rPr>
        <w:t xml:space="preserve">Read-through: </w:t>
      </w:r>
      <w:r>
        <w:rPr>
          <w:rFonts w:ascii="Calibri" w:hAnsi="Calibri"/>
          <w:color w:val="525866"/>
          <w:sz w:val="22"/>
        </w:rPr>
        <w:t>Validates SPG’s development yield assumptions and the attractiveness of retail REIT reinvestment opportunities.</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Relevance</w:t>
            </w:r>
          </w:p>
        </w:tc>
        <w:tc>
          <w:tcPr>
            <w:tcW w:type="dxa" w:w="1728"/>
            <w:shd w:val="clear" w:color="auto" w:fill="3B4259"/>
          </w:tcPr>
          <w:p>
            <w:r>
              <w:rPr>
                <w:rFonts w:ascii="Calibri" w:hAnsi="Calibri"/>
                <w:b/>
                <w:color w:val="FFFFFF"/>
                <w:sz w:val="22"/>
              </w:rPr>
              <w:t>Key Q2 2026 Data Point</w:t>
            </w:r>
          </w:p>
        </w:tc>
        <w:tc>
          <w:tcPr>
            <w:tcW w:type="dxa" w:w="1728"/>
            <w:shd w:val="clear" w:color="auto" w:fill="3B4259"/>
          </w:tcPr>
          <w:p>
            <w:r>
              <w:rPr>
                <w:rFonts w:ascii="Calibri" w:hAnsi="Calibri"/>
                <w:b/>
                <w:color w:val="FFFFFF"/>
                <w:sz w:val="22"/>
              </w:rPr>
              <w:t>SPG Read-Through</w:t>
            </w:r>
          </w:p>
        </w:tc>
      </w:tr>
      <w:tr>
        <w:tc>
          <w:tcPr>
            <w:tcW w:type="dxa" w:w="1728"/>
          </w:tcPr>
          <w:p>
            <w:r>
              <w:rPr>
                <w:rFonts w:ascii="Calibri" w:hAnsi="Calibri"/>
                <w:sz w:val="22"/>
              </w:rPr>
              <w:t>MAC (Macerich)</w:t>
            </w:r>
          </w:p>
        </w:tc>
        <w:tc>
          <w:tcPr>
            <w:tcW w:type="dxa" w:w="1728"/>
          </w:tcPr>
          <w:p>
            <w:r>
              <w:rPr>
                <w:rFonts w:ascii="Calibri" w:hAnsi="Calibri"/>
                <w:sz w:val="22"/>
              </w:rPr>
              <w:t>Aug 4, 2026</w:t>
            </w:r>
          </w:p>
        </w:tc>
        <w:tc>
          <w:tcPr>
            <w:tcW w:type="dxa" w:w="1728"/>
          </w:tcPr>
          <w:p>
            <w:r>
              <w:rPr>
                <w:rFonts w:ascii="Calibri" w:hAnsi="Calibri"/>
                <w:sz w:val="22"/>
              </w:rPr>
              <w:t>Highest (enclosed malls)</w:t>
            </w:r>
          </w:p>
        </w:tc>
        <w:tc>
          <w:tcPr>
            <w:tcW w:type="dxa" w:w="1728"/>
          </w:tcPr>
          <w:p>
            <w:r>
              <w:rPr>
                <w:rFonts w:ascii="Calibri" w:hAnsi="Calibri"/>
                <w:sz w:val="22"/>
              </w:rPr>
              <w:t>Sales PSF record $919/$954; NOI +3.8%; demand “deepest we’ve seen it”</w:t>
            </w:r>
          </w:p>
        </w:tc>
        <w:tc>
          <w:tcPr>
            <w:tcW w:type="dxa" w:w="1728"/>
          </w:tcPr>
          <w:p>
            <w:r>
              <w:rPr>
                <w:rFonts w:ascii="Calibri" w:hAnsi="Calibri"/>
                <w:b/>
                <w:color w:val="30A46C"/>
                <w:sz w:val="22"/>
              </w:rPr>
              <w:t>Positive: strong mall fundamentals, pricing power, Gen Z tailwind</w:t>
            </w:r>
          </w:p>
        </w:tc>
      </w:tr>
      <w:tr>
        <w:tc>
          <w:tcPr>
            <w:tcW w:type="dxa" w:w="1728"/>
          </w:tcPr>
          <w:p>
            <w:r>
              <w:rPr>
                <w:rFonts w:ascii="Calibri" w:hAnsi="Calibri"/>
                <w:sz w:val="22"/>
              </w:rPr>
              <w:t>SKT (Tanger)</w:t>
            </w:r>
          </w:p>
        </w:tc>
        <w:tc>
          <w:tcPr>
            <w:tcW w:type="dxa" w:w="1728"/>
          </w:tcPr>
          <w:p>
            <w:r>
              <w:rPr>
                <w:rFonts w:ascii="Calibri" w:hAnsi="Calibri"/>
                <w:sz w:val="22"/>
              </w:rPr>
              <w:t>Aug 5, 2026</w:t>
            </w:r>
          </w:p>
        </w:tc>
        <w:tc>
          <w:tcPr>
            <w:tcW w:type="dxa" w:w="1728"/>
          </w:tcPr>
          <w:p>
            <w:r>
              <w:rPr>
                <w:rFonts w:ascii="Calibri" w:hAnsi="Calibri"/>
                <w:sz w:val="22"/>
              </w:rPr>
              <w:t>High (outlet centers)</w:t>
            </w:r>
          </w:p>
        </w:tc>
        <w:tc>
          <w:tcPr>
            <w:tcW w:type="dxa" w:w="1728"/>
          </w:tcPr>
          <w:p>
            <w:r>
              <w:rPr>
                <w:rFonts w:ascii="Calibri" w:hAnsi="Calibri"/>
                <w:sz w:val="22"/>
              </w:rPr>
              <w:t>18 consec. qtrs positive spreads (+10.5%); traffic positive into July; guidance raised</w:t>
            </w:r>
          </w:p>
        </w:tc>
        <w:tc>
          <w:tcPr>
            <w:tcW w:type="dxa" w:w="1728"/>
          </w:tcPr>
          <w:p>
            <w:r>
              <w:rPr>
                <w:rFonts w:ascii="Calibri" w:hAnsi="Calibri"/>
                <w:b/>
                <w:color w:val="30A46C"/>
                <w:sz w:val="22"/>
              </w:rPr>
              <w:t>Positive: outlet demand robust; domestic tourism offsetting intl. softness; Saks re-leasing at 2–4x rents</w:t>
            </w:r>
          </w:p>
        </w:tc>
      </w:tr>
      <w:tr>
        <w:tc>
          <w:tcPr>
            <w:tcW w:type="dxa" w:w="1728"/>
          </w:tcPr>
          <w:p>
            <w:r>
              <w:rPr>
                <w:rFonts w:ascii="Calibri" w:hAnsi="Calibri"/>
                <w:sz w:val="22"/>
              </w:rPr>
              <w:t>KIM (Kimco)</w:t>
            </w:r>
          </w:p>
        </w:tc>
        <w:tc>
          <w:tcPr>
            <w:tcW w:type="dxa" w:w="1728"/>
          </w:tcPr>
          <w:p>
            <w:r>
              <w:rPr>
                <w:rFonts w:ascii="Calibri" w:hAnsi="Calibri"/>
                <w:sz w:val="22"/>
              </w:rPr>
              <w:t>Aug 4, 2026</w:t>
            </w:r>
          </w:p>
        </w:tc>
        <w:tc>
          <w:tcPr>
            <w:tcW w:type="dxa" w:w="1728"/>
          </w:tcPr>
          <w:p>
            <w:r>
              <w:rPr>
                <w:rFonts w:ascii="Calibri" w:hAnsi="Calibri"/>
                <w:sz w:val="22"/>
              </w:rPr>
              <w:t>Moderate (open-air)</w:t>
            </w:r>
          </w:p>
        </w:tc>
        <w:tc>
          <w:tcPr>
            <w:tcW w:type="dxa" w:w="1728"/>
          </w:tcPr>
          <w:p>
            <w:r>
              <w:rPr>
                <w:rFonts w:ascii="Calibri" w:hAnsi="Calibri"/>
                <w:sz w:val="22"/>
              </w:rPr>
              <w:t>Credit loss 57 bps (vs. 89 bps PY); consumer spending up 5.5% (mid-income); new lease spreads 40.4%</w:t>
            </w:r>
          </w:p>
        </w:tc>
        <w:tc>
          <w:tcPr>
            <w:tcW w:type="dxa" w:w="1728"/>
          </w:tcPr>
          <w:p>
            <w:r>
              <w:rPr>
                <w:rFonts w:ascii="Calibri" w:hAnsi="Calibri"/>
                <w:b/>
                <w:color w:val="30A46C"/>
                <w:sz w:val="22"/>
              </w:rPr>
              <w:t>Positive: improving tenant credit, resilient consumer, strong leasing demand</w:t>
            </w:r>
          </w:p>
        </w:tc>
      </w:tr>
      <w:tr>
        <w:tc>
          <w:tcPr>
            <w:tcW w:type="dxa" w:w="1728"/>
          </w:tcPr>
          <w:p>
            <w:r>
              <w:rPr>
                <w:rFonts w:ascii="Calibri" w:hAnsi="Calibri"/>
                <w:sz w:val="22"/>
              </w:rPr>
              <w:t>BRX (Brixmor)</w:t>
            </w:r>
          </w:p>
        </w:tc>
        <w:tc>
          <w:tcPr>
            <w:tcW w:type="dxa" w:w="1728"/>
          </w:tcPr>
          <w:p>
            <w:r>
              <w:rPr>
                <w:rFonts w:ascii="Calibri" w:hAnsi="Calibri"/>
                <w:sz w:val="22"/>
              </w:rPr>
              <w:t>Jul 28, 2026</w:t>
            </w:r>
          </w:p>
        </w:tc>
        <w:tc>
          <w:tcPr>
            <w:tcW w:type="dxa" w:w="1728"/>
          </w:tcPr>
          <w:p>
            <w:r>
              <w:rPr>
                <w:rFonts w:ascii="Calibri" w:hAnsi="Calibri"/>
                <w:sz w:val="22"/>
              </w:rPr>
              <w:t>Moderate (open-air)</w:t>
            </w:r>
          </w:p>
        </w:tc>
        <w:tc>
          <w:tcPr>
            <w:tcW w:type="dxa" w:w="1728"/>
          </w:tcPr>
          <w:p>
            <w:r>
              <w:rPr>
                <w:rFonts w:ascii="Calibri" w:hAnsi="Calibri"/>
                <w:sz w:val="22"/>
              </w:rPr>
              <w:t>SS NOI +5.8%; FY guidance raised to 5.0–5.75%; bankruptcy recaptures re-leased at 40%+ spreads</w:t>
            </w:r>
          </w:p>
        </w:tc>
        <w:tc>
          <w:tcPr>
            <w:tcW w:type="dxa" w:w="1728"/>
          </w:tcPr>
          <w:p>
            <w:r>
              <w:rPr>
                <w:rFonts w:ascii="Calibri" w:hAnsi="Calibri"/>
                <w:b/>
                <w:color w:val="30A46C"/>
                <w:sz w:val="22"/>
              </w:rPr>
              <w:t>Positive: sector NOI acceleration; rapid re-leasing of bankruptcy boxes at higher rents</w:t>
            </w:r>
          </w:p>
        </w:tc>
      </w:tr>
      <w:tr>
        <w:tc>
          <w:tcPr>
            <w:tcW w:type="dxa" w:w="1728"/>
          </w:tcPr>
          <w:p>
            <w:r>
              <w:rPr>
                <w:rFonts w:ascii="Calibri" w:hAnsi="Calibri"/>
                <w:sz w:val="22"/>
              </w:rPr>
              <w:t>REG (Regency)</w:t>
            </w:r>
          </w:p>
        </w:tc>
        <w:tc>
          <w:tcPr>
            <w:tcW w:type="dxa" w:w="1728"/>
          </w:tcPr>
          <w:p>
            <w:r>
              <w:rPr>
                <w:rFonts w:ascii="Calibri" w:hAnsi="Calibri"/>
                <w:sz w:val="22"/>
              </w:rPr>
              <w:t>Jul 30, 2026</w:t>
            </w:r>
          </w:p>
        </w:tc>
        <w:tc>
          <w:tcPr>
            <w:tcW w:type="dxa" w:w="1728"/>
          </w:tcPr>
          <w:p>
            <w:r>
              <w:rPr>
                <w:rFonts w:ascii="Calibri" w:hAnsi="Calibri"/>
                <w:sz w:val="22"/>
              </w:rPr>
              <w:t>Lower (grocery-anchored)</w:t>
            </w:r>
          </w:p>
        </w:tc>
        <w:tc>
          <w:tcPr>
            <w:tcW w:type="dxa" w:w="1728"/>
          </w:tcPr>
          <w:p>
            <w:r>
              <w:rPr>
                <w:rFonts w:ascii="Calibri" w:hAnsi="Calibri"/>
                <w:sz w:val="22"/>
              </w:rPr>
              <w:t>Lease rate ~97%; cash spreads &gt;10%; FY guidance raised; development starts raised to ~$400M</w:t>
            </w:r>
          </w:p>
        </w:tc>
        <w:tc>
          <w:tcPr>
            <w:tcW w:type="dxa" w:w="1728"/>
          </w:tcPr>
          <w:p>
            <w:r>
              <w:rPr>
                <w:rFonts w:ascii="Calibri" w:hAnsi="Calibri"/>
                <w:b/>
                <w:color w:val="30A46C"/>
                <w:sz w:val="22"/>
              </w:rPr>
              <w:t>Positive: healthy tenant base, broad guidance raises, development yield validation</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completion of the Taubman corporate integration (April 2026)</w:t>
      </w:r>
      <w:r>
        <w:rPr>
          <w:rFonts w:ascii="Calibri" w:hAnsi="Calibri"/>
          <w:color w:val="525866"/>
          <w:sz w:val="22"/>
        </w:rPr>
        <w:t xml:space="preserve"> and the active start of three Taubman redevelopment projects — this shifts the narrative from integration risk to value creation, and the Q2 call will be the first opportunity to hear detailed operational updates from these assets.</w:t>
      </w:r>
    </w:p>
    <w:p>
      <w:pPr>
        <w:pStyle w:val="ListBullet"/>
        <w:ind w:left="360" w:hanging="360"/>
      </w:pPr>
      <w:r>
        <w:rPr>
          <w:rFonts w:ascii="Calibri" w:hAnsi="Calibri"/>
          <w:b/>
          <w:color w:val="525866"/>
          <w:sz w:val="22"/>
        </w:rPr>
        <w:t xml:space="preserve">May 11, 2026 — Q1 2026 Earnings Beat &amp; FY Guidance Raise: </w:t>
      </w:r>
      <w:r>
        <w:rPr>
          <w:rFonts w:ascii="Calibri" w:hAnsi="Calibri"/>
          <w:color w:val="525866"/>
          <w:sz w:val="22"/>
        </w:rPr>
        <w:t xml:space="preserve">SPG reported Real Estate FFO of $3.17/share (+7.5% YoY), beating consensus of ~$3.14. Full-year 2026 Real Estate FFO guidance raised to $13.10–$13.25 (midpoint +$0.05 vs. prior range). Quarterly dividend raised to $2.25/share (+7.1% YoY). </w:t>
      </w:r>
      <w:r>
        <w:rPr>
          <w:rFonts w:ascii="Calibri" w:hAnsi="Calibri"/>
          <w:b/>
          <w:color w:val="525866"/>
          <w:sz w:val="22"/>
        </w:rPr>
        <w:t xml:space="preserve">Implication: </w:t>
      </w:r>
      <w:r>
        <w:rPr>
          <w:rFonts w:ascii="Calibri" w:hAnsi="Calibri"/>
          <w:color w:val="525866"/>
          <w:sz w:val="22"/>
        </w:rPr>
        <w:t>Sets a higher baseline for Q2 expectations; management confidence signal.</w:t>
      </w:r>
    </w:p>
    <w:p>
      <w:pPr>
        <w:pStyle w:val="ListBullet"/>
        <w:ind w:left="360" w:hanging="360"/>
      </w:pPr>
      <w:r>
        <w:rPr>
          <w:rFonts w:ascii="Calibri" w:hAnsi="Calibri"/>
          <w:b/>
          <w:color w:val="525866"/>
          <w:sz w:val="22"/>
        </w:rPr>
        <w:t xml:space="preserve">May 11, 2026 — Shops at Crystals Refinancing (Subsequent to Q1 End): </w:t>
      </w:r>
      <w:r>
        <w:rPr>
          <w:rFonts w:ascii="Calibri" w:hAnsi="Calibri"/>
          <w:color w:val="525866"/>
          <w:sz w:val="22"/>
        </w:rPr>
        <w:t xml:space="preserve">SPG closed a 5-year CMBS loan on Shops at Crystals at 4.83% — described as the “lowest retail fixed rate coupon CMBS financing completed over the last 4 years.” Rate is ~60 bps above the maturing loan. </w:t>
      </w:r>
      <w:r>
        <w:rPr>
          <w:rFonts w:ascii="Calibri" w:hAnsi="Calibri"/>
          <w:b/>
          <w:color w:val="525866"/>
          <w:sz w:val="22"/>
        </w:rPr>
        <w:t xml:space="preserve">Implication: </w:t>
      </w:r>
      <w:r>
        <w:rPr>
          <w:rFonts w:ascii="Calibri" w:hAnsi="Calibri"/>
          <w:color w:val="525866"/>
          <w:sz w:val="22"/>
        </w:rPr>
        <w:t>Will increase Q2 interest expense modestly vs. Q1, but demonstrates SPG’s access to capital markets at favorable terms.</w:t>
      </w:r>
    </w:p>
    <w:p>
      <w:pPr>
        <w:pStyle w:val="ListBullet"/>
        <w:ind w:left="360" w:hanging="360"/>
      </w:pPr>
      <w:r>
        <w:rPr>
          <w:rFonts w:ascii="Calibri" w:hAnsi="Calibri"/>
          <w:b/>
          <w:color w:val="525866"/>
          <w:sz w:val="22"/>
        </w:rPr>
        <w:t xml:space="preserve">May 11, 2026 — Klépierre Exchangeable Bond Conversions (Subsequent to Q1 End): </w:t>
      </w:r>
      <w:r>
        <w:rPr>
          <w:rFonts w:ascii="Calibri" w:hAnsi="Calibri"/>
          <w:color w:val="525866"/>
          <w:sz w:val="22"/>
        </w:rPr>
        <w:t xml:space="preserve">An additional $374M of exchangeable bonds were settled post-quarter, leaving ~$188M outstanding (maturing November 2026). SPG now owns ~59M shares of Klépierre (~20.7% stake). </w:t>
      </w:r>
      <w:r>
        <w:rPr>
          <w:rFonts w:ascii="Calibri" w:hAnsi="Calibri"/>
          <w:b/>
          <w:color w:val="525866"/>
          <w:sz w:val="22"/>
        </w:rPr>
        <w:t xml:space="preserve">Implication: </w:t>
      </w:r>
      <w:r>
        <w:rPr>
          <w:rFonts w:ascii="Calibri" w:hAnsi="Calibri"/>
          <w:color w:val="525866"/>
          <w:sz w:val="22"/>
        </w:rPr>
        <w:t>Reduces balance sheet complexity; Klépierre stake remains a potential source of capital or strategic optionality.</w:t>
      </w:r>
    </w:p>
    <w:p>
      <w:pPr>
        <w:pStyle w:val="ListBullet"/>
        <w:ind w:left="360" w:hanging="360"/>
      </w:pPr>
      <w:r>
        <w:rPr>
          <w:rFonts w:ascii="Calibri" w:hAnsi="Calibri"/>
          <w:b/>
          <w:color w:val="525866"/>
          <w:sz w:val="22"/>
        </w:rPr>
        <w:t xml:space="preserve">May 15, 2026 — CEO Eli Simon Receives $2.5M Equity Compensation (8-K/A): </w:t>
      </w:r>
      <w:r>
        <w:rPr>
          <w:rFonts w:ascii="Calibri" w:hAnsi="Calibri"/>
          <w:color w:val="525866"/>
          <w:sz w:val="22"/>
        </w:rPr>
        <w:t xml:space="preserve">Simon Property Group awarded CEO Eli Simon $2.5M in equity compensation following his appointment as CEO after David Simon’s passing. Martin Cicco appointed to Compensation Committee. </w:t>
      </w:r>
      <w:r>
        <w:rPr>
          <w:rFonts w:ascii="Calibri" w:hAnsi="Calibri"/>
          <w:b/>
          <w:color w:val="525866"/>
          <w:sz w:val="22"/>
        </w:rPr>
        <w:t xml:space="preserve">Implication: </w:t>
      </w:r>
      <w:r>
        <w:rPr>
          <w:rFonts w:ascii="Calibri" w:hAnsi="Calibri"/>
          <w:color w:val="525866"/>
          <w:sz w:val="22"/>
        </w:rPr>
        <w:t>Formalizes the leadership transition; compensation structure signals board confidence in Eli Simon’s tenure.</w:t>
      </w:r>
    </w:p>
    <w:p>
      <w:pPr>
        <w:pStyle w:val="ListBullet"/>
        <w:ind w:left="360" w:hanging="360"/>
      </w:pPr>
      <w:r>
        <w:rPr>
          <w:rFonts w:ascii="Calibri" w:hAnsi="Calibri"/>
          <w:b/>
          <w:color w:val="525866"/>
          <w:sz w:val="22"/>
        </w:rPr>
        <w:t xml:space="preserve">May 15, 2026 — Annual Shareholder Meeting: </w:t>
      </w:r>
      <w:r>
        <w:rPr>
          <w:rFonts w:ascii="Calibri" w:hAnsi="Calibri"/>
          <w:color w:val="525866"/>
          <w:sz w:val="22"/>
        </w:rPr>
        <w:t xml:space="preserve">Shareholders elected directors, approved executive pay, and ratified auditors. No material governance changes. </w:t>
      </w:r>
      <w:r>
        <w:rPr>
          <w:rFonts w:ascii="Calibri" w:hAnsi="Calibri"/>
          <w:b/>
          <w:color w:val="525866"/>
          <w:sz w:val="22"/>
        </w:rPr>
        <w:t xml:space="preserve">Implication: </w:t>
      </w:r>
      <w:r>
        <w:rPr>
          <w:rFonts w:ascii="Calibri" w:hAnsi="Calibri"/>
          <w:color w:val="525866"/>
          <w:sz w:val="22"/>
        </w:rPr>
        <w:t>Routine; no activist or governance overhang.</w:t>
      </w:r>
    </w:p>
    <w:p>
      <w:pPr>
        <w:pStyle w:val="ListBullet"/>
        <w:ind w:left="360" w:hanging="360"/>
      </w:pPr>
      <w:r>
        <w:rPr>
          <w:rFonts w:ascii="Calibri" w:hAnsi="Calibri"/>
          <w:b/>
          <w:color w:val="525866"/>
          <w:sz w:val="22"/>
        </w:rPr>
        <w:t xml:space="preserve">Ongoing — Taubman Integration Complete; Redevelopments Actively Starting: </w:t>
      </w:r>
      <w:r>
        <w:rPr>
          <w:rFonts w:ascii="Calibri" w:hAnsi="Calibri"/>
          <w:color w:val="525866"/>
          <w:sz w:val="22"/>
        </w:rPr>
        <w:t xml:space="preserve">Corporate integration of Taubman completed end of April 2026. Three redevelopment projects at Cherry Creek, Green Hills, and International Plaza are actively starting. Operational improvements underway across marketing, ancillary income, parking, and short-term leasing. </w:t>
      </w:r>
      <w:r>
        <w:rPr>
          <w:rFonts w:ascii="Calibri" w:hAnsi="Calibri"/>
          <w:b/>
          <w:color w:val="525866"/>
          <w:sz w:val="22"/>
        </w:rPr>
        <w:t xml:space="preserve">Implication: </w:t>
      </w:r>
      <w:r>
        <w:rPr>
          <w:rFonts w:ascii="Calibri" w:hAnsi="Calibri"/>
          <w:color w:val="525866"/>
          <w:sz w:val="22"/>
        </w:rPr>
        <w:t>Q2 2026 will be the first full quarter with Taubman fully integrated; management expressed greater excitement about the assets post-integration than at acquisition close.</w:t>
      </w:r>
    </w:p>
    <w:p>
      <w:pPr>
        <w:pStyle w:val="ListBullet"/>
        <w:ind w:left="360" w:hanging="360"/>
      </w:pPr>
      <w:r>
        <w:rPr>
          <w:rFonts w:ascii="Calibri" w:hAnsi="Calibri"/>
          <w:b/>
          <w:color w:val="525866"/>
          <w:sz w:val="22"/>
        </w:rPr>
        <w:t xml:space="preserve">Ongoing — Tariff Impact Minimal; Leasing Pipeline Expanding: </w:t>
      </w:r>
      <w:r>
        <w:rPr>
          <w:rFonts w:ascii="Calibri" w:hAnsi="Calibri"/>
          <w:color w:val="525866"/>
          <w:sz w:val="22"/>
        </w:rPr>
        <w:t xml:space="preserve">Management reported only 4–5 lease fallouts since Liberation Day (April 2025), with no additional fallout. Leasing pipeline remains significantly above prior year. Retailers proactively securing multi-year renewals. </w:t>
      </w:r>
      <w:r>
        <w:rPr>
          <w:rFonts w:ascii="Calibri" w:hAnsi="Calibri"/>
          <w:b/>
          <w:color w:val="525866"/>
          <w:sz w:val="22"/>
        </w:rPr>
        <w:t xml:space="preserve">Implication: </w:t>
      </w:r>
      <w:r>
        <w:rPr>
          <w:rFonts w:ascii="Calibri" w:hAnsi="Calibri"/>
          <w:color w:val="525866"/>
          <w:sz w:val="22"/>
        </w:rPr>
        <w:t>Tariff risk that loomed large at Q4 2025 earnings has not materialized; removes a key bear case heading into Q2.</w:t>
      </w:r>
    </w:p>
    <w:p>
      <w:pPr>
        <w:pStyle w:val="ListBullet"/>
        <w:ind w:left="360" w:hanging="360"/>
      </w:pPr>
      <w:r>
        <w:rPr>
          <w:rFonts w:ascii="Calibri" w:hAnsi="Calibri"/>
          <w:b/>
          <w:color w:val="525866"/>
          <w:sz w:val="22"/>
        </w:rPr>
        <w:t xml:space="preserve">Ongoing — Tenant Bankruptcies (Saks Global, Eddie Bauer): </w:t>
      </w:r>
      <w:r>
        <w:rPr>
          <w:rFonts w:ascii="Calibri" w:hAnsi="Calibri"/>
          <w:color w:val="525866"/>
          <w:sz w:val="22"/>
        </w:rPr>
        <w:t xml:space="preserve">Management acknowledged these bankruptcies surfaced after the 2026 budget was set but maintained guidance, signaling confidence in re-leasing ability. SKT’s experience with Saks Off 5th (2–4x rent multiplier on re-leasing) provides a positive read-through. </w:t>
      </w:r>
      <w:r>
        <w:rPr>
          <w:rFonts w:ascii="Calibri" w:hAnsi="Calibri"/>
          <w:b/>
          <w:color w:val="525866"/>
          <w:sz w:val="22"/>
        </w:rPr>
        <w:t xml:space="preserve">Implication: </w:t>
      </w:r>
      <w:r>
        <w:rPr>
          <w:rFonts w:ascii="Calibri" w:hAnsi="Calibri"/>
          <w:color w:val="525866"/>
          <w:sz w:val="22"/>
        </w:rPr>
        <w:t>Near-term occupancy headwind but medium-term rent growth opportunity; watch for Q2 commentary on re-leasing progress.</w:t>
      </w:r>
    </w:p>
    <w:p>
      <w:pPr>
        <w:pStyle w:val="ListBullet"/>
        <w:ind w:left="360" w:hanging="360"/>
      </w:pPr>
      <w:r>
        <w:rPr>
          <w:rFonts w:ascii="Calibri" w:hAnsi="Calibri"/>
          <w:b/>
          <w:color w:val="525866"/>
          <w:sz w:val="22"/>
        </w:rPr>
        <w:t xml:space="preserve">Jul 1, 2026 — Q2 2026 Earnings Date Announced: </w:t>
      </w:r>
      <w:r>
        <w:rPr>
          <w:rFonts w:ascii="Calibri" w:hAnsi="Calibri"/>
          <w:color w:val="525866"/>
          <w:sz w:val="22"/>
        </w:rPr>
        <w:t xml:space="preserve">SPG announced results will be released after market close on August 10, 2026, with a conference call at 5:00 PM ET. </w:t>
      </w:r>
      <w:r>
        <w:rPr>
          <w:rFonts w:ascii="Calibri" w:hAnsi="Calibri"/>
          <w:b/>
          <w:color w:val="525866"/>
          <w:sz w:val="22"/>
        </w:rPr>
        <w:t xml:space="preserve">Implication: </w:t>
      </w:r>
      <w:r>
        <w:rPr>
          <w:rFonts w:ascii="Calibri" w:hAnsi="Calibri"/>
          <w:color w:val="525866"/>
          <w:sz w:val="22"/>
        </w:rPr>
        <w:t>No pre-announcement or guidance revision issued alongside the date announcement — consistent with no material negative developments.</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All 11 insider transactions in the window are director stock acquisitions on June 30, 2026 — a coordinated, same-day purchase by the full board of directors, which is a </w:t>
      </w:r>
      <w:r>
        <w:rPr>
          <w:rFonts w:ascii="Calibri" w:hAnsi="Calibri"/>
          <w:b/>
          <w:color w:val="525866"/>
          <w:sz w:val="22"/>
        </w:rPr>
        <w:t>constructive signal</w:t>
      </w:r>
      <w:r>
        <w:rPr>
          <w:rFonts w:ascii="Calibri" w:hAnsi="Calibri"/>
          <w:color w:val="525866"/>
          <w:sz w:val="22"/>
        </w:rPr>
        <w:t xml:space="preserve"> heading into Q2 earnings; no open-market sales or 10b5-1 planned sales were filed in the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Aeppel, Glyn</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243</w:t>
            </w:r>
          </w:p>
        </w:tc>
        <w:tc>
          <w:tcPr>
            <w:tcW w:type="dxa" w:w="1440"/>
          </w:tcPr>
          <w:p>
            <w:r>
              <w:rPr>
                <w:rFonts w:ascii="Calibri" w:hAnsi="Calibri"/>
                <w:sz w:val="22"/>
              </w:rPr>
              <w:t>Jun 30, 2026</w:t>
            </w:r>
          </w:p>
        </w:tc>
        <w:tc>
          <w:tcPr>
            <w:tcW w:type="dxa" w:w="1440"/>
          </w:tcPr>
          <w:p>
            <w:r>
              <w:rPr>
                <w:rFonts w:ascii="Calibri" w:hAnsi="Calibri"/>
                <w:sz w:val="22"/>
              </w:rPr>
              <w:t>Discretionary; total holdings 21,067 shares post-transaction</w:t>
            </w:r>
          </w:p>
        </w:tc>
      </w:tr>
      <w:tr>
        <w:tc>
          <w:tcPr>
            <w:tcW w:type="dxa" w:w="1440"/>
          </w:tcPr>
          <w:p>
            <w:r>
              <w:rPr>
                <w:rFonts w:ascii="Calibri" w:hAnsi="Calibri"/>
                <w:sz w:val="22"/>
              </w:rPr>
              <w:t>Cicco, Martin J.</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15</w:t>
            </w:r>
          </w:p>
        </w:tc>
        <w:tc>
          <w:tcPr>
            <w:tcW w:type="dxa" w:w="1440"/>
          </w:tcPr>
          <w:p>
            <w:r>
              <w:rPr>
                <w:rFonts w:ascii="Calibri" w:hAnsi="Calibri"/>
                <w:sz w:val="22"/>
              </w:rPr>
              <w:t>Jun 30, 2026</w:t>
            </w:r>
          </w:p>
        </w:tc>
        <w:tc>
          <w:tcPr>
            <w:tcW w:type="dxa" w:w="1440"/>
          </w:tcPr>
          <w:p>
            <w:r>
              <w:rPr>
                <w:rFonts w:ascii="Calibri" w:hAnsi="Calibri"/>
                <w:sz w:val="22"/>
              </w:rPr>
              <w:t>Discretionary; newly appointed to Compensation Committee</w:t>
            </w:r>
          </w:p>
        </w:tc>
      </w:tr>
      <w:tr>
        <w:tc>
          <w:tcPr>
            <w:tcW w:type="dxa" w:w="1440"/>
          </w:tcPr>
          <w:p>
            <w:r>
              <w:rPr>
                <w:rFonts w:ascii="Calibri" w:hAnsi="Calibri"/>
                <w:sz w:val="22"/>
              </w:rPr>
              <w:t>Glasscock, Larry C.</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397</w:t>
            </w:r>
          </w:p>
        </w:tc>
        <w:tc>
          <w:tcPr>
            <w:tcW w:type="dxa" w:w="1440"/>
          </w:tcPr>
          <w:p>
            <w:r>
              <w:rPr>
                <w:rFonts w:ascii="Calibri" w:hAnsi="Calibri"/>
                <w:sz w:val="22"/>
              </w:rPr>
              <w:t>Jun 30, 2026</w:t>
            </w:r>
          </w:p>
        </w:tc>
        <w:tc>
          <w:tcPr>
            <w:tcW w:type="dxa" w:w="1440"/>
          </w:tcPr>
          <w:p>
            <w:r>
              <w:rPr>
                <w:rFonts w:ascii="Calibri" w:hAnsi="Calibri"/>
                <w:sz w:val="22"/>
              </w:rPr>
              <w:t>Discretionary; total holdings 45,902 shares post-transaction</w:t>
            </w:r>
          </w:p>
        </w:tc>
      </w:tr>
      <w:tr>
        <w:tc>
          <w:tcPr>
            <w:tcW w:type="dxa" w:w="1440"/>
          </w:tcPr>
          <w:p>
            <w:r>
              <w:rPr>
                <w:rFonts w:ascii="Calibri" w:hAnsi="Calibri"/>
                <w:sz w:val="22"/>
              </w:rPr>
              <w:t>Jones, Nina P.</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43</w:t>
            </w:r>
          </w:p>
        </w:tc>
        <w:tc>
          <w:tcPr>
            <w:tcW w:type="dxa" w:w="1440"/>
          </w:tcPr>
          <w:p>
            <w:r>
              <w:rPr>
                <w:rFonts w:ascii="Calibri" w:hAnsi="Calibri"/>
                <w:sz w:val="22"/>
              </w:rPr>
              <w:t>Jun 30, 2026</w:t>
            </w:r>
          </w:p>
        </w:tc>
        <w:tc>
          <w:tcPr>
            <w:tcW w:type="dxa" w:w="1440"/>
          </w:tcPr>
          <w:p>
            <w:r>
              <w:rPr>
                <w:rFonts w:ascii="Calibri" w:hAnsi="Calibri"/>
                <w:sz w:val="22"/>
              </w:rPr>
              <w:t>Discretionary; total holdings 4,183 shares post-transaction</w:t>
            </w:r>
          </w:p>
        </w:tc>
      </w:tr>
      <w:tr>
        <w:tc>
          <w:tcPr>
            <w:tcW w:type="dxa" w:w="1440"/>
          </w:tcPr>
          <w:p>
            <w:r>
              <w:rPr>
                <w:rFonts w:ascii="Calibri" w:hAnsi="Calibri"/>
                <w:sz w:val="22"/>
              </w:rPr>
              <w:t>Leibowitz, Reuben S.</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508</w:t>
            </w:r>
          </w:p>
        </w:tc>
        <w:tc>
          <w:tcPr>
            <w:tcW w:type="dxa" w:w="1440"/>
          </w:tcPr>
          <w:p>
            <w:r>
              <w:rPr>
                <w:rFonts w:ascii="Calibri" w:hAnsi="Calibri"/>
                <w:sz w:val="22"/>
              </w:rPr>
              <w:t>Jun 30, 2026</w:t>
            </w:r>
          </w:p>
        </w:tc>
        <w:tc>
          <w:tcPr>
            <w:tcW w:type="dxa" w:w="1440"/>
          </w:tcPr>
          <w:p>
            <w:r>
              <w:rPr>
                <w:rFonts w:ascii="Calibri" w:hAnsi="Calibri"/>
                <w:sz w:val="22"/>
              </w:rPr>
              <w:t>Discretionary; largest single purchase in the group; total holdings 55,797 shares</w:t>
            </w:r>
          </w:p>
        </w:tc>
      </w:tr>
      <w:tr>
        <w:tc>
          <w:tcPr>
            <w:tcW w:type="dxa" w:w="1440"/>
          </w:tcPr>
          <w:p>
            <w:r>
              <w:rPr>
                <w:rFonts w:ascii="Calibri" w:hAnsi="Calibri"/>
                <w:sz w:val="22"/>
              </w:rPr>
              <w:t>Lewis, Randall J.</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62</w:t>
            </w:r>
          </w:p>
        </w:tc>
        <w:tc>
          <w:tcPr>
            <w:tcW w:type="dxa" w:w="1440"/>
          </w:tcPr>
          <w:p>
            <w:r>
              <w:rPr>
                <w:rFonts w:ascii="Calibri" w:hAnsi="Calibri"/>
                <w:sz w:val="22"/>
              </w:rPr>
              <w:t>Jun 30, 2026</w:t>
            </w:r>
          </w:p>
        </w:tc>
        <w:tc>
          <w:tcPr>
            <w:tcW w:type="dxa" w:w="1440"/>
          </w:tcPr>
          <w:p>
            <w:r>
              <w:rPr>
                <w:rFonts w:ascii="Calibri" w:hAnsi="Calibri"/>
                <w:sz w:val="22"/>
              </w:rPr>
              <w:t>Discretionary; total holdings 7,018 shares post-transaction</w:t>
            </w:r>
          </w:p>
        </w:tc>
      </w:tr>
      <w:tr>
        <w:tc>
          <w:tcPr>
            <w:tcW w:type="dxa" w:w="1440"/>
          </w:tcPr>
          <w:p>
            <w:r>
              <w:rPr>
                <w:rFonts w:ascii="Calibri" w:hAnsi="Calibri"/>
                <w:sz w:val="22"/>
              </w:rPr>
              <w:t>Rodkin, Gary M.</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256</w:t>
            </w:r>
          </w:p>
        </w:tc>
        <w:tc>
          <w:tcPr>
            <w:tcW w:type="dxa" w:w="1440"/>
          </w:tcPr>
          <w:p>
            <w:r>
              <w:rPr>
                <w:rFonts w:ascii="Calibri" w:hAnsi="Calibri"/>
                <w:sz w:val="22"/>
              </w:rPr>
              <w:t>Jun 30, 2026</w:t>
            </w:r>
          </w:p>
        </w:tc>
        <w:tc>
          <w:tcPr>
            <w:tcW w:type="dxa" w:w="1440"/>
          </w:tcPr>
          <w:p>
            <w:r>
              <w:rPr>
                <w:rFonts w:ascii="Calibri" w:hAnsi="Calibri"/>
                <w:sz w:val="22"/>
              </w:rPr>
              <w:t>Discretionary; total holdings 21,016 shares post-transaction</w:t>
            </w:r>
          </w:p>
        </w:tc>
      </w:tr>
      <w:tr>
        <w:tc>
          <w:tcPr>
            <w:tcW w:type="dxa" w:w="1440"/>
          </w:tcPr>
          <w:p>
            <w:r>
              <w:rPr>
                <w:rFonts w:ascii="Calibri" w:hAnsi="Calibri"/>
                <w:sz w:val="22"/>
              </w:rPr>
              <w:t>Roe, Peggy</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89</w:t>
            </w:r>
          </w:p>
        </w:tc>
        <w:tc>
          <w:tcPr>
            <w:tcW w:type="dxa" w:w="1440"/>
          </w:tcPr>
          <w:p>
            <w:r>
              <w:rPr>
                <w:rFonts w:ascii="Calibri" w:hAnsi="Calibri"/>
                <w:sz w:val="22"/>
              </w:rPr>
              <w:t>Jun 30, 2026</w:t>
            </w:r>
          </w:p>
        </w:tc>
        <w:tc>
          <w:tcPr>
            <w:tcW w:type="dxa" w:w="1440"/>
          </w:tcPr>
          <w:p>
            <w:r>
              <w:rPr>
                <w:rFonts w:ascii="Calibri" w:hAnsi="Calibri"/>
                <w:sz w:val="22"/>
              </w:rPr>
              <w:t>Discretionary; total holdings 8,047 shares post-transaction</w:t>
            </w:r>
          </w:p>
        </w:tc>
      </w:tr>
      <w:tr>
        <w:tc>
          <w:tcPr>
            <w:tcW w:type="dxa" w:w="1440"/>
          </w:tcPr>
          <w:p>
            <w:r>
              <w:rPr>
                <w:rFonts w:ascii="Calibri" w:hAnsi="Calibri"/>
                <w:sz w:val="22"/>
              </w:rPr>
              <w:t>Selig, Stefan M.</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220</w:t>
            </w:r>
          </w:p>
        </w:tc>
        <w:tc>
          <w:tcPr>
            <w:tcW w:type="dxa" w:w="1440"/>
          </w:tcPr>
          <w:p>
            <w:r>
              <w:rPr>
                <w:rFonts w:ascii="Calibri" w:hAnsi="Calibri"/>
                <w:sz w:val="22"/>
              </w:rPr>
              <w:t>Jun 30, 2026</w:t>
            </w:r>
          </w:p>
        </w:tc>
        <w:tc>
          <w:tcPr>
            <w:tcW w:type="dxa" w:w="1440"/>
          </w:tcPr>
          <w:p>
            <w:r>
              <w:rPr>
                <w:rFonts w:ascii="Calibri" w:hAnsi="Calibri"/>
                <w:sz w:val="22"/>
              </w:rPr>
              <w:t>Discretionary; total holdings 33,812 shares post-transaction</w:t>
            </w:r>
          </w:p>
        </w:tc>
      </w:tr>
      <w:tr>
        <w:tc>
          <w:tcPr>
            <w:tcW w:type="dxa" w:w="1440"/>
          </w:tcPr>
          <w:p>
            <w:r>
              <w:rPr>
                <w:rFonts w:ascii="Calibri" w:hAnsi="Calibri"/>
                <w:sz w:val="22"/>
              </w:rPr>
              <w:t>Smith, Daniel C.</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372</w:t>
            </w:r>
          </w:p>
        </w:tc>
        <w:tc>
          <w:tcPr>
            <w:tcW w:type="dxa" w:w="1440"/>
          </w:tcPr>
          <w:p>
            <w:r>
              <w:rPr>
                <w:rFonts w:ascii="Calibri" w:hAnsi="Calibri"/>
                <w:sz w:val="22"/>
              </w:rPr>
              <w:t>Jun 30, 2026</w:t>
            </w:r>
          </w:p>
        </w:tc>
        <w:tc>
          <w:tcPr>
            <w:tcW w:type="dxa" w:w="1440"/>
          </w:tcPr>
          <w:p>
            <w:r>
              <w:rPr>
                <w:rFonts w:ascii="Calibri" w:hAnsi="Calibri"/>
                <w:sz w:val="22"/>
              </w:rPr>
              <w:t>Discretionary; total holdings 34,480 shares post-transaction</w:t>
            </w:r>
          </w:p>
        </w:tc>
      </w:tr>
      <w:tr>
        <w:tc>
          <w:tcPr>
            <w:tcW w:type="dxa" w:w="1440"/>
          </w:tcPr>
          <w:p>
            <w:r>
              <w:rPr>
                <w:rFonts w:ascii="Calibri" w:hAnsi="Calibri"/>
                <w:sz w:val="22"/>
              </w:rPr>
              <w:t>Stewart, Marta R.</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182</w:t>
            </w:r>
          </w:p>
        </w:tc>
        <w:tc>
          <w:tcPr>
            <w:tcW w:type="dxa" w:w="1440"/>
          </w:tcPr>
          <w:p>
            <w:r>
              <w:rPr>
                <w:rFonts w:ascii="Calibri" w:hAnsi="Calibri"/>
                <w:sz w:val="22"/>
              </w:rPr>
              <w:t>Jun 30, 2026</w:t>
            </w:r>
          </w:p>
        </w:tc>
        <w:tc>
          <w:tcPr>
            <w:tcW w:type="dxa" w:w="1440"/>
          </w:tcPr>
          <w:p>
            <w:r>
              <w:rPr>
                <w:rFonts w:ascii="Calibri" w:hAnsi="Calibri"/>
                <w:sz w:val="22"/>
              </w:rPr>
              <w:t>Discretionary; total holdings 18,000 shares post-transaction</w:t>
            </w:r>
          </w:p>
        </w:tc>
      </w:tr>
    </w:tbl>
    <w:p>
      <w:r>
        <w:rPr>
          <w:rFonts w:ascii="Calibri" w:hAnsi="Calibri"/>
          <w:color w:val="525866"/>
          <w:sz w:val="22"/>
        </w:rPr>
        <w:t xml:space="preserve">All 11 directors purchased shares on the same day (June 30, 2026) — the last trading day of Q2 — with no open-market sales filed in the period. This coordinated board-level buying, occurring just weeks before the Q2 earnings release, is a </w:t>
      </w:r>
      <w:r>
        <w:rPr>
          <w:rFonts w:ascii="Calibri" w:hAnsi="Calibri"/>
          <w:b/>
          <w:color w:val="525866"/>
          <w:sz w:val="22"/>
        </w:rPr>
        <w:t>constructive insider signal</w:t>
      </w:r>
      <w:r>
        <w:rPr>
          <w:rFonts w:ascii="Calibri" w:hAnsi="Calibri"/>
          <w:color w:val="525866"/>
          <w:sz w:val="22"/>
        </w:rPr>
        <w:t>. The purchases appear to be discretionary (no 10b5-1 plan indicated) and span the full board, suggesting broad confidence in the company’s operational trajectory and valuation at ~$223/share.</w:t>
      </w:r>
    </w:p>
    <w:p>
      <w:r>
        <w:rPr>
          <w:rFonts w:ascii="Calibri" w:hAnsi="Calibri"/>
          <w:i/>
          <w:color w:val="525866"/>
          <w:sz w:val="22"/>
        </w:rPr>
        <w:t>Source: SEC Form 4 Filings Database (filed July 1, 2026; transactions dated June 30, 2026).</w:t>
      </w:r>
    </w:p>
    <w:p>
      <w:r>
        <w:br w:type="page"/>
      </w:r>
    </w:p>
    <w:p>
      <w:pPr>
        <w:pStyle w:val="Heading1"/>
        <w:pBdr>
          <w:bottom w:val="single" w:sz="4" w:space="1" w:color="FB9120"/>
        </w:pBdr>
      </w:pPr>
      <w:r>
        <w:rPr>
          <w:rFonts w:ascii="Calibri" w:hAnsi="Calibri"/>
          <w:b/>
          <w:color w:val="3B4259"/>
          <w:sz w:val="40"/>
        </w:rPr>
        <w:t>Appendix: Key Metrics Reference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Value</w:t>
            </w:r>
          </w:p>
        </w:tc>
        <w:tc>
          <w:tcPr>
            <w:tcW w:type="dxa" w:w="2880"/>
            <w:shd w:val="clear" w:color="auto" w:fill="3B4259"/>
          </w:tcPr>
          <w:p>
            <w:r>
              <w:rPr>
                <w:rFonts w:ascii="Calibri" w:hAnsi="Calibri"/>
                <w:b/>
                <w:color w:val="FFFFFF"/>
                <w:sz w:val="22"/>
              </w:rPr>
              <w:t>As Of</w:t>
            </w:r>
          </w:p>
        </w:tc>
      </w:tr>
      <w:tr>
        <w:tc>
          <w:tcPr>
            <w:tcW w:type="dxa" w:w="2880"/>
          </w:tcPr>
          <w:p>
            <w:r>
              <w:rPr>
                <w:rFonts w:ascii="Calibri" w:hAnsi="Calibri"/>
                <w:sz w:val="22"/>
              </w:rPr>
              <w:t>NTM EV/EBITDA</w:t>
            </w:r>
          </w:p>
        </w:tc>
        <w:tc>
          <w:tcPr>
            <w:tcW w:type="dxa" w:w="2880"/>
          </w:tcPr>
          <w:p>
            <w:r>
              <w:rPr>
                <w:rFonts w:ascii="Calibri" w:hAnsi="Calibri"/>
                <w:sz w:val="22"/>
              </w:rPr>
              <w:t>17.3x</w:t>
            </w:r>
          </w:p>
        </w:tc>
        <w:tc>
          <w:tcPr>
            <w:tcW w:type="dxa" w:w="2880"/>
          </w:tcPr>
          <w:p>
            <w:r>
              <w:rPr>
                <w:rFonts w:ascii="Calibri" w:hAnsi="Calibri"/>
                <w:sz w:val="22"/>
              </w:rPr>
              <w:t>Aug 7, 2026</w:t>
            </w:r>
          </w:p>
        </w:tc>
      </w:tr>
      <w:tr>
        <w:tc>
          <w:tcPr>
            <w:tcW w:type="dxa" w:w="2880"/>
          </w:tcPr>
          <w:p>
            <w:r>
              <w:rPr>
                <w:rFonts w:ascii="Calibri" w:hAnsi="Calibri"/>
                <w:sz w:val="22"/>
              </w:rPr>
              <w:t>NTM P/E</w:t>
            </w:r>
          </w:p>
        </w:tc>
        <w:tc>
          <w:tcPr>
            <w:tcW w:type="dxa" w:w="2880"/>
          </w:tcPr>
          <w:p>
            <w:r>
              <w:rPr>
                <w:rFonts w:ascii="Calibri" w:hAnsi="Calibri"/>
                <w:sz w:val="22"/>
              </w:rPr>
              <w:t>31.2x</w:t>
            </w:r>
          </w:p>
        </w:tc>
        <w:tc>
          <w:tcPr>
            <w:tcW w:type="dxa" w:w="2880"/>
          </w:tcPr>
          <w:p>
            <w:r>
              <w:rPr>
                <w:rFonts w:ascii="Calibri" w:hAnsi="Calibri"/>
                <w:sz w:val="22"/>
              </w:rPr>
              <w:t>Aug 7, 2026</w:t>
            </w:r>
          </w:p>
        </w:tc>
      </w:tr>
      <w:tr>
        <w:tc>
          <w:tcPr>
            <w:tcW w:type="dxa" w:w="2880"/>
          </w:tcPr>
          <w:p>
            <w:r>
              <w:rPr>
                <w:rFonts w:ascii="Calibri" w:hAnsi="Calibri"/>
                <w:sz w:val="22"/>
              </w:rPr>
              <w:t>NTM P/FCF</w:t>
            </w:r>
          </w:p>
        </w:tc>
        <w:tc>
          <w:tcPr>
            <w:tcW w:type="dxa" w:w="2880"/>
          </w:tcPr>
          <w:p>
            <w:r>
              <w:rPr>
                <w:rFonts w:ascii="Calibri" w:hAnsi="Calibri"/>
                <w:sz w:val="22"/>
              </w:rPr>
              <w:t>18.5x</w:t>
            </w:r>
          </w:p>
        </w:tc>
        <w:tc>
          <w:tcPr>
            <w:tcW w:type="dxa" w:w="2880"/>
          </w:tcPr>
          <w:p>
            <w:r>
              <w:rPr>
                <w:rFonts w:ascii="Calibri" w:hAnsi="Calibri"/>
                <w:sz w:val="22"/>
              </w:rPr>
              <w:t>Aug 7, 2026</w:t>
            </w:r>
          </w:p>
        </w:tc>
      </w:tr>
      <w:tr>
        <w:tc>
          <w:tcPr>
            <w:tcW w:type="dxa" w:w="2880"/>
          </w:tcPr>
          <w:p>
            <w:r>
              <w:rPr>
                <w:rFonts w:ascii="Calibri" w:hAnsi="Calibri"/>
                <w:sz w:val="22"/>
              </w:rPr>
              <w:t>Net Debt / EBITDA (Q1 2026)</w:t>
            </w:r>
          </w:p>
        </w:tc>
        <w:tc>
          <w:tcPr>
            <w:tcW w:type="dxa" w:w="2880"/>
          </w:tcPr>
          <w:p>
            <w:r>
              <w:rPr>
                <w:rFonts w:ascii="Calibri" w:hAnsi="Calibri"/>
                <w:sz w:val="22"/>
              </w:rPr>
              <w:t>5.0x</w:t>
            </w:r>
          </w:p>
        </w:tc>
        <w:tc>
          <w:tcPr>
            <w:tcW w:type="dxa" w:w="2880"/>
          </w:tcPr>
          <w:p>
            <w:r>
              <w:rPr>
                <w:rFonts w:ascii="Calibri" w:hAnsi="Calibri"/>
                <w:sz w:val="22"/>
              </w:rPr>
              <w:t>Q1 2026 Earnings Release</w:t>
            </w:r>
          </w:p>
        </w:tc>
      </w:tr>
      <w:tr>
        <w:tc>
          <w:tcPr>
            <w:tcW w:type="dxa" w:w="2880"/>
          </w:tcPr>
          <w:p>
            <w:r>
              <w:rPr>
                <w:rFonts w:ascii="Calibri" w:hAnsi="Calibri"/>
                <w:sz w:val="22"/>
              </w:rPr>
              <w:t>Fixed Charge Coverage (Q1 2026)</w:t>
            </w:r>
          </w:p>
        </w:tc>
        <w:tc>
          <w:tcPr>
            <w:tcW w:type="dxa" w:w="2880"/>
          </w:tcPr>
          <w:p>
            <w:r>
              <w:rPr>
                <w:rFonts w:ascii="Calibri" w:hAnsi="Calibri"/>
                <w:sz w:val="22"/>
              </w:rPr>
              <w:t>4.6x</w:t>
            </w:r>
          </w:p>
        </w:tc>
        <w:tc>
          <w:tcPr>
            <w:tcW w:type="dxa" w:w="2880"/>
          </w:tcPr>
          <w:p>
            <w:r>
              <w:rPr>
                <w:rFonts w:ascii="Calibri" w:hAnsi="Calibri"/>
                <w:sz w:val="22"/>
              </w:rPr>
              <w:t>Q1 2026 Earnings Release</w:t>
            </w:r>
          </w:p>
        </w:tc>
      </w:tr>
      <w:tr>
        <w:tc>
          <w:tcPr>
            <w:tcW w:type="dxa" w:w="2880"/>
          </w:tcPr>
          <w:p>
            <w:r>
              <w:rPr>
                <w:rFonts w:ascii="Calibri" w:hAnsi="Calibri"/>
                <w:sz w:val="22"/>
              </w:rPr>
              <w:t>Liquidity (Q1 2026 End)</w:t>
            </w:r>
          </w:p>
        </w:tc>
        <w:tc>
          <w:tcPr>
            <w:tcW w:type="dxa" w:w="2880"/>
          </w:tcPr>
          <w:p>
            <w:r>
              <w:rPr>
                <w:rFonts w:ascii="Calibri" w:hAnsi="Calibri"/>
                <w:sz w:val="22"/>
              </w:rPr>
              <w:t>~$8.7B</w:t>
            </w:r>
          </w:p>
        </w:tc>
        <w:tc>
          <w:tcPr>
            <w:tcW w:type="dxa" w:w="2880"/>
          </w:tcPr>
          <w:p>
            <w:r>
              <w:rPr>
                <w:rFonts w:ascii="Calibri" w:hAnsi="Calibri"/>
                <w:sz w:val="22"/>
              </w:rPr>
              <w:t>Q1 2026 Earnings Release</w:t>
            </w:r>
          </w:p>
        </w:tc>
      </w:tr>
      <w:tr>
        <w:tc>
          <w:tcPr>
            <w:tcW w:type="dxa" w:w="2880"/>
          </w:tcPr>
          <w:p>
            <w:r>
              <w:rPr>
                <w:rFonts w:ascii="Calibri" w:hAnsi="Calibri"/>
                <w:sz w:val="22"/>
              </w:rPr>
              <w:t>Development Pipeline (Active)</w:t>
            </w:r>
          </w:p>
        </w:tc>
        <w:tc>
          <w:tcPr>
            <w:tcW w:type="dxa" w:w="2880"/>
          </w:tcPr>
          <w:p>
            <w:r>
              <w:rPr>
                <w:rFonts w:ascii="Calibri" w:hAnsi="Calibri"/>
                <w:sz w:val="22"/>
              </w:rPr>
              <w:t>$1.06B at 9% blended yield</w:t>
            </w:r>
          </w:p>
        </w:tc>
        <w:tc>
          <w:tcPr>
            <w:tcW w:type="dxa" w:w="2880"/>
          </w:tcPr>
          <w:p>
            <w:r>
              <w:rPr>
                <w:rFonts w:ascii="Calibri" w:hAnsi="Calibri"/>
                <w:sz w:val="22"/>
              </w:rPr>
              <w:t>Q1 2026 Earnings Call</w:t>
            </w:r>
          </w:p>
        </w:tc>
      </w:tr>
      <w:tr>
        <w:tc>
          <w:tcPr>
            <w:tcW w:type="dxa" w:w="2880"/>
          </w:tcPr>
          <w:p>
            <w:r>
              <w:rPr>
                <w:rFonts w:ascii="Calibri" w:hAnsi="Calibri"/>
                <w:sz w:val="22"/>
              </w:rPr>
              <w:t>SNO Pipeline (Q1 2026 End)</w:t>
            </w:r>
          </w:p>
        </w:tc>
        <w:tc>
          <w:tcPr>
            <w:tcW w:type="dxa" w:w="2880"/>
          </w:tcPr>
          <w:p>
            <w:r>
              <w:rPr>
                <w:rFonts w:ascii="Calibri" w:hAnsi="Calibri"/>
                <w:sz w:val="22"/>
              </w:rPr>
              <w:t>310 bps</w:t>
            </w:r>
          </w:p>
        </w:tc>
        <w:tc>
          <w:tcPr>
            <w:tcW w:type="dxa" w:w="2880"/>
          </w:tcPr>
          <w:p>
            <w:r>
              <w:rPr>
                <w:rFonts w:ascii="Calibri" w:hAnsi="Calibri"/>
                <w:sz w:val="22"/>
              </w:rPr>
              <w:t>Q1 2026 Earnings Call</w:t>
            </w:r>
          </w:p>
        </w:tc>
      </w:tr>
      <w:tr>
        <w:tc>
          <w:tcPr>
            <w:tcW w:type="dxa" w:w="2880"/>
          </w:tcPr>
          <w:p>
            <w:r>
              <w:rPr>
                <w:rFonts w:ascii="Calibri" w:hAnsi="Calibri"/>
                <w:sz w:val="22"/>
              </w:rPr>
              <w:t>Shares Repurchased (Q1 2026)</w:t>
            </w:r>
          </w:p>
        </w:tc>
        <w:tc>
          <w:tcPr>
            <w:tcW w:type="dxa" w:w="2880"/>
          </w:tcPr>
          <w:p>
            <w:r>
              <w:rPr>
                <w:rFonts w:ascii="Calibri" w:hAnsi="Calibri"/>
                <w:sz w:val="22"/>
              </w:rPr>
              <w:t>~965K shares at avg. $181.59 ($175M total)</w:t>
            </w:r>
          </w:p>
        </w:tc>
        <w:tc>
          <w:tcPr>
            <w:tcW w:type="dxa" w:w="2880"/>
          </w:tcPr>
          <w:p>
            <w:r>
              <w:rPr>
                <w:rFonts w:ascii="Calibri" w:hAnsi="Calibri"/>
                <w:sz w:val="22"/>
              </w:rPr>
              <w:t>Q1 2026 Earnings Release</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