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re-earnings-predictions--2026-08-06"/>
    <w:p>
      <w:pPr>
        <w:pStyle w:val="Heading1"/>
      </w:pPr>
      <w:r>
        <w:t xml:space="preserve">SRE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~$1.08 vs. cons $1.01 (Q2'26; PY $0.89)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Sempra Texas (Oncor) segment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260M (PY $208M; rate-case catch-up surcharge back to Jan 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~$3.16B vs. cons $3.14B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4.80</m:t>
              </m:r>
              <m:r>
                <m:rPr>
                  <m:sty m:val="p"/>
                </m:rPr>
                <m:t>–</m:t>
              </m:r>
            </m:oMath>
            <w:r>
              <w:t xml:space="preserve">5.30 (mid ~$5.05) vs. cons $5.06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5.10</m:t>
              </m:r>
              <m:r>
                <m:rPr>
                  <m:sty m:val="p"/>
                </m:rPr>
                <m:t>–</m:t>
              </m:r>
            </m:oMath>
            <w:r>
              <w:t xml:space="preserve">5.70 (mid ~$5.40) vs. cons $5.42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7–9% vs. cons ~7–9% (thru 2029)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 Partners (KKR 45%) sale close timing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~Q3 2026 close vs. cons ~Q2–Q3 2026 (timing drift confirmed w/ CFO transition)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Texas incremental CapEx bucket update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potential +</w:t>
            </w:r>
            <m:oMath>
              <m:r>
                <m:t>9</m:t>
              </m:r>
              <m:r>
                <m:rPr>
                  <m:sty m:val="p"/>
                </m:rPr>
                <m:t>–</m:t>
              </m:r>
              <m:r>
                <m:t>10</m:t>
              </m:r>
              <m:r>
                <m:t>B</m:t>
              </m:r>
              <m:r>
                <m:t>a</m:t>
              </m:r>
              <m:r>
                <m:t>d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quantified (2026–2030 out-period)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Likely EPS/Texas beat is driven by the one-time Oncor rate-case catch-up surcharge (Jan 1 back-recognition) while FY2026/2027 guides are only reaffirmed — implicit out-period math means H2 is a touch lighter, so no upward revisions follow the beat. Initial relief bounce on a beaten-up, low-positioning name fades as the SI close slips to Q3, the CFO transition adds overhang, and any incremental Texas CapEx update stays qualitative.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2026-08-06T00:48:07Z</dcterms:created>
  <dcterms:modified xsi:type="dcterms:W3CDTF">2026-08-06T00:48:07Z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