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SRE (Sempra) before writing the preview. Let me start gathering data.I'll read the most recent earnings materials (2026Q1) and the 2025Q2 for year-ago comparison.Let me get the year-ago Q2 2025 release for comparison and recent news/stock price.Let me check the management change 8-K for detail, as it's a significant recent development.I have what I need. Let me quickly compute a few performance stats.Now I have everything I need to write the preview.</w:t>
      </w:r>
    </w:p>
    <w:p>
      <w:r>
        <w:pict>
          <v:rect style="width:0;height:1.5pt" o:hralign="center" o:hrstd="t" o:hr="t"/>
        </w:pict>
      </w:r>
    </w:p>
    <w:bookmarkStart w:id="17" w:name="X88830af016997faa97f3d7667f94a59e050fca7"/>
    <w:p>
      <w:pPr>
        <w:pStyle w:val="Heading1"/>
      </w:pPr>
      <w:r>
        <w:t xml:space="preserve">Sempra (NYSE: SRE) — Q2 2026 Earnings Preview</w:t>
      </w:r>
    </w:p>
    <w:bookmarkStart w:id="9" w:name="X6210c221b0981247491ead8b659ddb6cc58d5e5"/>
    <w:p>
      <w:pPr>
        <w:pStyle w:val="Heading3"/>
      </w:pPr>
      <w:r>
        <w:t xml:space="preserve">Report due Thursday, August 6, 2026 (before market open) · Call at 12:00 p.m. ET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Sempra heads into Q2 as a company mid-transformation: it is remaking itself into a Texas-and-California "pure-play" utility, and the quarter should carry two big tailwinds — the first full-quarter recognition of Oncor's new Texas rate case (including a catch-up surcharge) and a business model on the cusp of a major simplification via the KKR/Sempra Infrastructure Partners (SI) sale. The stock, however, is going in soft.</w:t>
      </w:r>
    </w:p>
    <w:bookmarkEnd w:id="10"/>
    <w:bookmarkStart w:id="11" w:name="where-the-stock-sits"/>
    <w:p>
      <w:pPr>
        <w:pStyle w:val="Heading2"/>
      </w:pPr>
      <w:r>
        <w:t xml:space="preserve">Where the stock sits</w:t>
      </w:r>
    </w:p>
    <w:p>
      <w:pPr>
        <w:pStyle w:val="FirstParagraph"/>
      </w:pPr>
      <w:r>
        <w:t xml:space="preserve">SRE has been a notable laggard in an otherwise steady utility tape. Shares closed at</w:t>
      </w:r>
      <w:r>
        <w:t xml:space="preserve"> </w:t>
      </w:r>
      <m:oMath>
        <m:r>
          <m:t>84.68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5.6</m:t>
        </m:r>
      </m:oMath>
      <w:r>
        <w:rPr>
          <w:b/>
          <w:bCs/>
        </w:rPr>
        <w:t xml:space="preserve">99.75 April high</w:t>
      </w:r>
      <w:r>
        <w:t xml:space="preserve">, versus the utility sector (XLU) up ~1% YTD. Most tellingly, the stock fell **~9% in the two weeks into the print** (from ~$93 on July 22). That drawdown suggests low positioning and possibly some de-risking around the SI-sale timing and the CFO change (below) — which cuts both ways: a clean quarter with de-risked catalysts could see an outsized relief bounce, while any slippage lands on an already-nervous tape.</w:t>
      </w:r>
    </w:p>
    <w:bookmarkEnd w:id="11"/>
    <w:bookmarkStart w:id="12" w:name="what-actually-matters-this-quarter"/>
    <w:p>
      <w:pPr>
        <w:pStyle w:val="Heading2"/>
      </w:pPr>
      <w:r>
        <w:t xml:space="preserve">What actually matters this quarter</w:t>
      </w:r>
    </w:p>
    <w:p>
      <w:pPr>
        <w:pStyle w:val="FirstParagraph"/>
      </w:pPr>
      <w:r>
        <w:rPr>
          <w:b/>
          <w:bCs/>
        </w:rPr>
        <w:t xml:space="preserve">1) Oncor rate case flows through — Texas should be the standout.</w:t>
      </w:r>
      <w:r>
        <w:t xml:space="preserve"> </w:t>
      </w:r>
      <w:r>
        <w:t xml:space="preserve">In April the PUCT approved Oncor's base rate settlement, lifting the authorized ROE to</w:t>
      </w:r>
      <w:r>
        <w:t xml:space="preserve"> </w:t>
      </w:r>
      <w:r>
        <w:rPr>
          <w:b/>
          <w:bCs/>
        </w:rPr>
        <w:t xml:space="preserve">9.75%</w:t>
      </w:r>
      <w:r>
        <w:t xml:space="preserve">, the equity layer to</w:t>
      </w:r>
      <w:r>
        <w:t xml:space="preserve"> </w:t>
      </w:r>
      <w:r>
        <w:rPr>
          <w:b/>
          <w:bCs/>
        </w:rPr>
        <w:t xml:space="preserve">43.5%</w:t>
      </w:r>
      <w:r>
        <w:t xml:space="preserve">, and setting an ~$6.97B annual revenue requirement. Crucially, management flagged that the financial benefit would be</w:t>
      </w:r>
      <w:r>
        <w:t xml:space="preserve"> </w:t>
      </w:r>
      <w:r>
        <w:rPr>
          <w:b/>
          <w:bCs/>
        </w:rPr>
        <w:t xml:space="preserve">"primarily recognized in the second quarter"</w:t>
      </w:r>
      <w:r>
        <w:t xml:space="preserve"> </w:t>
      </w:r>
      <w:r>
        <w:t xml:space="preserve">because the order landed in April — and Oncor is permitted to</w:t>
      </w:r>
      <w:r>
        <w:t xml:space="preserve"> </w:t>
      </w:r>
      <w:r>
        <w:rPr>
          <w:b/>
          <w:bCs/>
        </w:rPr>
        <w:t xml:space="preserve">surcharge the gap between new and old rates back to Jan 1, 2026</w:t>
      </w:r>
      <w:r>
        <w:t xml:space="preserve">. Translation: expect a step-up in Sempra Texas earnings this quarter, part of it catch-up. For reference, Q1 2026 Texas equity earnings were $171M (up from $146M); the year-ago Q2 2025 Texas contribution was $208M. This is the single biggest swing factor for a beat.</w:t>
      </w:r>
    </w:p>
    <w:p>
      <w:pPr>
        <w:pStyle w:val="BodyText"/>
      </w:pPr>
      <w:r>
        <w:rPr>
          <w:b/>
          <w:bCs/>
        </w:rPr>
        <w:t xml:space="preserve">2) The SI Partners (KKR) close — timing is now the story.</w:t>
      </w:r>
      <w:r>
        <w:t xml:space="preserve"> </w:t>
      </w:r>
      <w:r>
        <w:t xml:space="preserve">The 45% equity sale is the linchpin of the "capital recycling into utilities" strategy and the balance-sheet de-leveraging thesis. As of the Q1 call, management guided to a</w:t>
      </w:r>
      <w:r>
        <w:t xml:space="preserve"> </w:t>
      </w:r>
      <w:r>
        <w:rPr>
          <w:b/>
          <w:bCs/>
        </w:rPr>
        <w:t xml:space="preserve">Q2 or Q3 2026</w:t>
      </w:r>
      <w:r>
        <w:t xml:space="preserve"> </w:t>
      </w:r>
      <w:r>
        <w:t xml:space="preserve">close and had already cleared FERC, HSR, and Mexican/Korean antitrust, with remaining items around Cameron partner/JBIC consents. But a subtle tell: the</w:t>
      </w:r>
      <w:r>
        <w:t xml:space="preserve"> </w:t>
      </w:r>
      <w:r>
        <w:rPr>
          <w:b/>
          <w:bCs/>
        </w:rPr>
        <w:t xml:space="preserve">July 6 executive announcement</w:t>
      </w:r>
      <w:r>
        <w:t xml:space="preserve"> </w:t>
      </w:r>
      <w:r>
        <w:t xml:space="preserve">explicitly ties the CFO transition to a close "expected to occur in the</w:t>
      </w:r>
      <w:r>
        <w:t xml:space="preserve"> </w:t>
      </w:r>
      <w:r>
        <w:rPr>
          <w:b/>
          <w:bCs/>
        </w:rPr>
        <w:t xml:space="preserve">third quarter of 2026</w:t>
      </w:r>
      <w:r>
        <w:t xml:space="preserve">." That language nudges expectations toward Q3, not Q2. Watch for a firm closing date, updated accretion commentary, and how proceeds are deployed (parent debt paydown + utility reinvestment). The smaller</w:t>
      </w:r>
      <w:r>
        <w:t xml:space="preserve"> </w:t>
      </w:r>
      <w:r>
        <w:rPr>
          <w:b/>
          <w:bCs/>
        </w:rPr>
        <w:t xml:space="preserve">Ecogas</w:t>
      </w:r>
      <w:r>
        <w:t xml:space="preserve"> </w:t>
      </w:r>
      <w:r>
        <w:t xml:space="preserve">sale is also expected to close Q2/Q3.</w:t>
      </w:r>
    </w:p>
    <w:p>
      <w:pPr>
        <w:pStyle w:val="BodyText"/>
      </w:pPr>
      <w:r>
        <w:rPr>
          <w:b/>
          <w:bCs/>
        </w:rPr>
        <w:t xml:space="preserve">3) A CFO change — new context since Q1.</w:t>
      </w:r>
      <w:r>
        <w:t xml:space="preserve"> </w:t>
      </w:r>
      <w:r>
        <w:t xml:space="preserve">On July 6, Sempra named</w:t>
      </w:r>
      <w:r>
        <w:t xml:space="preserve"> </w:t>
      </w:r>
      <w:r>
        <w:rPr>
          <w:b/>
          <w:bCs/>
        </w:rPr>
        <w:t xml:space="preserve">Justin Bird</w:t>
      </w:r>
      <w:r>
        <w:t xml:space="preserve"> </w:t>
      </w:r>
      <w:r>
        <w:t xml:space="preserve">(currently EVP and CEO of Sempra Infrastructure) as EVP &amp; CFO, effective around the SI close, with current CFO</w:t>
      </w:r>
      <w:r>
        <w:t xml:space="preserve"> </w:t>
      </w:r>
      <w:r>
        <w:rPr>
          <w:b/>
          <w:bCs/>
        </w:rPr>
        <w:t xml:space="preserve">Karen Sedgwick</w:t>
      </w:r>
      <w:r>
        <w:t xml:space="preserve"> </w:t>
      </w:r>
      <w:r>
        <w:t xml:space="preserve">moving to run SoCalGas. It's a logical reshuffle as SI is deconsolidated, but it's a leadership change at the top financial seat during a delicate balance-sheet transition — expect analysts to probe continuity, credit strategy, and messaging.</w:t>
      </w:r>
    </w:p>
    <w:p>
      <w:pPr>
        <w:pStyle w:val="BodyText"/>
      </w:pPr>
      <w:r>
        <w:rPr>
          <w:b/>
          <w:bCs/>
        </w:rPr>
        <w:t xml:space="preserve">4) The Texas growth "incremental to the incremental."</w:t>
      </w:r>
      <w:r>
        <w:t xml:space="preserve"> </w:t>
      </w:r>
      <w:r>
        <w:t xml:space="preserve">This is the upside narrative investors are paying for. On the Q1 call, management pointed to Oncor's</w:t>
      </w:r>
      <w:r>
        <w:t xml:space="preserve"> </w:t>
      </w:r>
      <w:r>
        <w:rPr>
          <w:b/>
          <w:bCs/>
        </w:rPr>
        <w:t xml:space="preserve">~127 GW of qualifying large-load (mostly data center)</w:t>
      </w:r>
      <w:r>
        <w:t xml:space="preserve"> </w:t>
      </w:r>
      <w:r>
        <w:t xml:space="preserve">requests submitted in the 2026 RTP filing, a</w:t>
      </w:r>
      <w:r>
        <w:t xml:space="preserve"> </w:t>
      </w:r>
      <w:r>
        <w:rPr>
          <w:b/>
          <w:bCs/>
        </w:rPr>
        <w:t xml:space="preserve">~$10B incremental CapEx bucket</w:t>
      </w:r>
      <w:r>
        <w:t xml:space="preserve"> </w:t>
      </w:r>
      <w:r>
        <w:t xml:space="preserve">beyond the</w:t>
      </w:r>
      <w:r>
        <w:t xml:space="preserve"> </w:t>
      </w:r>
      <m:oMath>
        <m:r>
          <m:t>65</m:t>
        </m:r>
        <m:r>
          <m:t>B</m:t>
        </m:r>
        <m:r>
          <m:t>b</m:t>
        </m:r>
        <m:r>
          <m:t>a</m:t>
        </m:r>
        <m:r>
          <m:t>s</m:t>
        </m:r>
        <m:r>
          <m:t>e</m:t>
        </m:r>
        <m:r>
          <m:t>p</m:t>
        </m:r>
        <m:r>
          <m:t>l</m:t>
        </m:r>
        <m:r>
          <m:t>a</m:t>
        </m:r>
        <m:r>
          <m:t>n</m:t>
        </m:r>
        <m:r>
          <m:rPr>
            <m:sty m:val="p"/>
          </m:rPr>
          <m:t>(</m:t>
        </m:r>
        <m:r>
          <m:t> </m:t>
        </m:r>
      </m:oMath>
      <w:r>
        <w:t xml:space="preserve">9B of company-wide upside, nearly all Texas), and roughly</w:t>
      </w:r>
      <w:r>
        <w:t xml:space="preserve"> </w:t>
      </w:r>
      <w:r>
        <w:rPr>
          <w:b/>
          <w:bCs/>
        </w:rPr>
        <w:t xml:space="preserve">$2.9B of South Dallas transmission projects** ERCOT recently released. Jeff Martin explicitly said he'd like to **update the incremental CapEx bucket "perhaps on the Q2 call."** Any hard dollars added to the plan — plus color on the ERCOT Batch Zero / RTP process (Board approval targeted June 1, criteria finalized July) — is the key growth catalyst. Note management frames the **$</w:t>
      </w:r>
      <w:r>
        <w:rPr>
          <w:b/>
          <w:bCs/>
        </w:rPr>
        <w:t xml:space="preserve">47.5B Oncor base plan as largely indifferent to how many data centers actually connect</w:t>
      </w:r>
      <w:r>
        <w:t xml:space="preserve">, so the base case is defended while the load is upside.</w:t>
      </w:r>
    </w:p>
    <w:p>
      <w:pPr>
        <w:pStyle w:val="BodyText"/>
      </w:pPr>
      <w:r>
        <w:rPr>
          <w:b/>
          <w:bCs/>
        </w:rPr>
        <w:t xml:space="preserve">5) California regulatory cadence.</w:t>
      </w:r>
      <w:r>
        <w:t xml:space="preserve"> </w:t>
      </w:r>
      <w:r>
        <w:t xml:space="preserve">Two items to track: (a) the</w:t>
      </w:r>
      <w:r>
        <w:t xml:space="preserve"> </w:t>
      </w:r>
      <w:r>
        <w:rPr>
          <w:b/>
          <w:bCs/>
        </w:rPr>
        <w:t xml:space="preserve">SDG&amp;E TO6 FERC transmission settlement</w:t>
      </w:r>
      <w:r>
        <w:t xml:space="preserve"> </w:t>
      </w:r>
      <w:r>
        <w:t xml:space="preserve">(10.28% ROE, 54% equity), with a decision expected 2H26 and terms</w:t>
      </w:r>
      <w:r>
        <w:t xml:space="preserve"> </w:t>
      </w:r>
      <w:r>
        <w:rPr>
          <w:b/>
          <w:bCs/>
        </w:rPr>
        <w:t xml:space="preserve">retroactive to June 1, 2025</w:t>
      </w:r>
      <w:r>
        <w:t xml:space="preserve"> </w:t>
      </w:r>
      <w:r>
        <w:t xml:space="preserve">— a potential lump recognition when approved; and (b) the</w:t>
      </w:r>
      <w:r>
        <w:t xml:space="preserve"> </w:t>
      </w:r>
      <w:r>
        <w:rPr>
          <w:b/>
          <w:bCs/>
        </w:rPr>
        <w:t xml:space="preserve">SDG&amp;E/SoCalGas General Rate Case filing</w:t>
      </w:r>
      <w:r>
        <w:t xml:space="preserve">, which management said would be submitted "later in Q2." Watch the ask (safety/reliability/modernization) and the affordability framing. Oncor's</w:t>
      </w:r>
      <w:r>
        <w:t xml:space="preserve"> </w:t>
      </w:r>
      <w:r>
        <w:rPr>
          <w:b/>
          <w:bCs/>
        </w:rPr>
        <w:t xml:space="preserve">UTM tracker</w:t>
      </w:r>
      <w:r>
        <w:t xml:space="preserve"> </w:t>
      </w:r>
      <w:r>
        <w:t xml:space="preserve">(inaugural $4.4B filing) has a hearing set for ~Aug 20, interim rates possible ~Oct 4, and a final order in 2H26 — another regulatory-lag reducer.</w:t>
      </w:r>
    </w:p>
    <w:p>
      <w:pPr>
        <w:pStyle w:val="BodyText"/>
      </w:pPr>
      <w:r>
        <w:rPr>
          <w:b/>
          <w:bCs/>
        </w:rPr>
        <w:t xml:space="preserve">6) Wildfire / SB 254 in California.</w:t>
      </w:r>
      <w:r>
        <w:t xml:space="preserve"> </w:t>
      </w:r>
      <w:r>
        <w:t xml:space="preserve">Management expressed "reasonable confidence" of getting wildfire-liability framework improvements done</w:t>
      </w:r>
      <w:r>
        <w:t xml:space="preserve"> </w:t>
      </w:r>
      <w:r>
        <w:rPr>
          <w:b/>
          <w:bCs/>
        </w:rPr>
        <w:t xml:space="preserve">within this legislative session</w:t>
      </w:r>
      <w:r>
        <w:t xml:space="preserve">, buoyed by the California Earthquake Authority's April resiliency study. Given SRE's California exposure, any legislative progress (or lack thereof this session) is a sentiment mover.</w:t>
      </w:r>
    </w:p>
    <w:p>
      <w:pPr>
        <w:pStyle w:val="BodyText"/>
      </w:pPr>
      <w:r>
        <w:rPr>
          <w:b/>
          <w:bCs/>
        </w:rPr>
        <w:t xml:space="preserve">7) LNG milestones (now upside, not core).</w:t>
      </w:r>
      <w:r>
        <w:t xml:space="preserve"> </w:t>
      </w:r>
      <w:r>
        <w:t xml:space="preserve">ECA LNG Phase 1 was expected to produce</w:t>
      </w:r>
      <w:r>
        <w:t xml:space="preserve"> </w:t>
      </w:r>
      <w:r>
        <w:rPr>
          <w:b/>
          <w:bCs/>
        </w:rPr>
        <w:t xml:space="preserve">first LNG in June with substantial completion this summer</w:t>
      </w:r>
      <w:r>
        <w:t xml:space="preserve">, at which point LNG revenue recognition begins; Port Arthur Phase 1 &amp; 2 remain on time/budget, with remaining PA LNG Phase 2 offtake being marketed. Post-strategy-pivot, LNG is being de-emphasized in capital allocation (SRE targets ~60% of rate base in Texas by decade-end), so treat these as incremental positives rather than the thesis.</w:t>
      </w:r>
    </w:p>
    <w:bookmarkEnd w:id="12"/>
    <w:bookmarkStart w:id="13" w:name="guidance--the-bar"/>
    <w:p>
      <w:pPr>
        <w:pStyle w:val="Heading2"/>
      </w:pPr>
      <w:r>
        <w:t xml:space="preserve">Guidance — the bar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FY2026 adjusted EPS:</w:t>
      </w:r>
      <w:r>
        <w:rPr>
          <w:b/>
          <w:bCs/>
        </w:rPr>
        <w:t xml:space="preserve"> </w:t>
      </w:r>
      <m:oMath>
        <m:r>
          <m:t>4.80</m:t>
        </m:r>
        <m:r>
          <m:rPr>
            <m:sty m:val="p"/>
          </m:rPr>
          <m:t>–</m:t>
        </m:r>
      </m:oMath>
      <w:r>
        <w:rPr>
          <w:b/>
          <w:bCs/>
        </w:rPr>
        <w:t xml:space="preserve">5.30</w:t>
      </w:r>
      <w:r>
        <w:t xml:space="preserve"> </w:t>
      </w:r>
      <w:r>
        <w:t xml:space="preserve">(affirmed at Q1); FY2026 GAAP updated to</w:t>
      </w:r>
      <w:r>
        <w:t xml:space="preserve"> </w:t>
      </w:r>
      <m:oMath>
        <m:r>
          <m:t>4.87</m:t>
        </m:r>
        <m:r>
          <m:rPr>
            <m:sty m:val="p"/>
          </m:rPr>
          <m:t>–</m:t>
        </m:r>
      </m:oMath>
      <w:r>
        <w:t xml:space="preserve">5.37.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FY2027 adjusted EPS:</w:t>
      </w:r>
      <w:r>
        <w:rPr>
          <w:b/>
          <w:bCs/>
        </w:rPr>
        <w:t xml:space="preserve"> </w:t>
      </w:r>
      <m:oMath>
        <m:r>
          <m:t>5.10</m:t>
        </m:r>
        <m:r>
          <m:rPr>
            <m:sty m:val="p"/>
          </m:rPr>
          <m:t>–</m:t>
        </m:r>
      </m:oMath>
      <w:r>
        <w:rPr>
          <w:b/>
          <w:bCs/>
        </w:rPr>
        <w:t xml:space="preserve">5.70</w:t>
      </w:r>
      <w:r>
        <w:t xml:space="preserve">; long-term growth reaffirmed at</w:t>
      </w:r>
      <w:r>
        <w:t xml:space="preserve"> </w:t>
      </w:r>
      <w:r>
        <w:rPr>
          <w:b/>
          <w:bCs/>
        </w:rPr>
        <w:t xml:space="preserve">7–9%</w:t>
      </w:r>
      <w:r>
        <w:t xml:space="preserve">, which management touts as among the highest in the sector.</w:t>
      </w:r>
    </w:p>
    <w:p>
      <w:pPr>
        <w:pStyle w:val="Compact"/>
        <w:numPr>
          <w:ilvl w:val="0"/>
          <w:numId w:val="1001"/>
        </w:numPr>
      </w:pPr>
      <w:r>
        <w:t xml:space="preserve">Q1 2026 came in at</w:t>
      </w:r>
      <w:r>
        <w:t xml:space="preserve"> </w:t>
      </w:r>
      <w:r>
        <w:rPr>
          <w:b/>
          <w:bCs/>
        </w:rPr>
        <w:t xml:space="preserve">$1.51 adjusted</w:t>
      </w:r>
      <w:r>
        <w:t xml:space="preserve"> </w:t>
      </w:r>
      <w:r>
        <w:t xml:space="preserve">(vs. $1.44 PY). With the Oncor surcharge landing in Q2, first-half progress toward the full-year range should look healthy — the question is whether management</w:t>
      </w:r>
      <w:r>
        <w:t xml:space="preserve"> </w:t>
      </w:r>
      <w:r>
        <w:rPr>
          <w:b/>
          <w:bCs/>
        </w:rPr>
        <w:t xml:space="preserve">tightens or reaffirms</w:t>
      </w:r>
      <w:r>
        <w:t xml:space="preserve"> </w:t>
      </w:r>
      <w:r>
        <w:t xml:space="preserve">2026 and whether it lays groundwork for a 2027 (and beyond) uplift as the Texas incremental capital firms up.</w:t>
      </w:r>
    </w:p>
    <w:bookmarkEnd w:id="13"/>
    <w:bookmarkStart w:id="14" w:name="X090628f1105906b64e6f2f32607e279d3055592"/>
    <w:p>
      <w:pPr>
        <w:pStyle w:val="Heading2"/>
      </w:pPr>
      <w:r>
        <w:t xml:space="preserve">What would make it a good print vs. a bad one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Firm SI-sale closing date with confirmed accretion; a tangible add to the Texas incremental CapEx bucket; a strong Texas quarter from the rate-case catch-up; positive credit-agency commentary on threshold improvements post-close.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Bearish:</w:t>
      </w:r>
      <w:r>
        <w:t xml:space="preserve"> </w:t>
      </w:r>
      <w:r>
        <w:t xml:space="preserve">SI close slips beyond Q3 or terms get renegotiated; incremental CapEx update is vague ("later this year"); California GRC ask or wildfire legislation disappoints; any hint of equity needs / credit pressure before deconsolidation benefits arrive.</w:t>
      </w:r>
    </w:p>
    <w:bookmarkEnd w:id="14"/>
    <w:bookmarkStart w:id="15" w:name="key-modeling-reference-points"/>
    <w:p>
      <w:pPr>
        <w:pStyle w:val="Heading2"/>
      </w:pPr>
      <w:r>
        <w:t xml:space="preserve">Key modeling reference points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(PY)</w:t>
            </w:r>
          </w:p>
        </w:tc>
        <w:tc>
          <w:tcPr/>
          <w:p>
            <w:pPr>
              <w:pStyle w:val="Compact"/>
            </w:pPr>
            <w:r>
              <w:t xml:space="preserve">Q1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$0.89</w:t>
            </w:r>
          </w:p>
        </w:tc>
        <w:tc>
          <w:tcPr/>
          <w:p>
            <w:pPr>
              <w:pStyle w:val="Compact"/>
            </w:pPr>
            <w:r>
              <w:t xml:space="preserve">$1.51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$0.71</w:t>
            </w:r>
          </w:p>
        </w:tc>
        <w:tc>
          <w:tcPr/>
          <w:p>
            <w:pPr>
              <w:pStyle w:val="Compact"/>
            </w:pPr>
            <w:r>
              <w:t xml:space="preserve">$1.58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California earnings</w:t>
            </w:r>
          </w:p>
        </w:tc>
        <w:tc>
          <w:tcPr/>
          <w:p>
            <w:pPr>
              <w:pStyle w:val="Compact"/>
            </w:pPr>
            <w:r>
              <w:t xml:space="preserve">$259M</w:t>
            </w:r>
          </w:p>
        </w:tc>
        <w:tc>
          <w:tcPr/>
          <w:p>
            <w:pPr>
              <w:pStyle w:val="Compact"/>
            </w:pPr>
            <w:r>
              <w:t xml:space="preserve">$720M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Texas earnings</w:t>
            </w:r>
          </w:p>
        </w:tc>
        <w:tc>
          <w:tcPr/>
          <w:p>
            <w:pPr>
              <w:pStyle w:val="Compact"/>
            </w:pPr>
            <w:r>
              <w:t xml:space="preserve">$208M</w:t>
            </w:r>
          </w:p>
        </w:tc>
        <w:tc>
          <w:tcPr/>
          <w:p>
            <w:pPr>
              <w:pStyle w:val="Compact"/>
            </w:pPr>
            <w:r>
              <w:t xml:space="preserve">$171M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Infrastructure earnings</w:t>
            </w:r>
          </w:p>
        </w:tc>
        <w:tc>
          <w:tcPr/>
          <w:p>
            <w:pPr>
              <w:pStyle w:val="Compact"/>
            </w:pPr>
            <w:r>
              <w:t xml:space="preserve">$72M</w:t>
            </w:r>
          </w:p>
        </w:tc>
        <w:tc>
          <w:tcPr/>
          <w:p>
            <w:pPr>
              <w:pStyle w:val="Compact"/>
            </w:pPr>
            <w:r>
              <w:t xml:space="preserve">$262M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Parent &amp; other</w:t>
            </w:r>
          </w:p>
        </w:tc>
        <w:tc>
          <w:tcPr/>
          <w:p>
            <w:pPr>
              <w:pStyle w:val="Compact"/>
            </w:pPr>
            <w:r>
              <w:t xml:space="preserve">$(78)M</w:t>
            </w:r>
          </w:p>
        </w:tc>
        <w:tc>
          <w:tcPr/>
          <w:p>
            <w:pPr>
              <w:pStyle w:val="Compact"/>
            </w:pPr>
            <w:r>
              <w:t xml:space="preserve">$(116)M</w:t>
            </w:r>
          </w:p>
        </w:tc>
      </w:tr>
    </w:tbl>
    <w:p>
      <w:pPr>
        <w:pStyle w:val="BodyText"/>
      </w:pPr>
      <w:r>
        <w:rPr>
          <w:i/>
          <w:iCs/>
        </w:rPr>
        <w:t xml:space="preserve">Note: Q2 is seasonally the softest quarter for SRE (year-ago Q2 adjusted EPS was $0.89, roughly flat YoY), and quarter-to-quarter segment mix is volatile given held-for-sale accounting on SI/Ecogas, Mexico FX/inflation adjustments, and the timing of regulatory recognition. Focus on the trajectory of the full-year range and the Texas rate-case flow-through rather than a single-quarter EPS point.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 story is intact and arguably improving — a bigger, better-earning Texas utility (higher ROE, higher equity layer, reduced regulatory lag) with a large data-center-driven CapEx option, plus a cleaner balance sheet coming once SI deconsolidates. The near-term risk is</w:t>
      </w:r>
      <w:r>
        <w:t xml:space="preserve"> </w:t>
      </w:r>
      <w:r>
        <w:rPr>
          <w:b/>
          <w:bCs/>
        </w:rPr>
        <w:t xml:space="preserve">execution and timing</w:t>
      </w:r>
      <w:r>
        <w:t xml:space="preserve">: the SI close appears to have drifted toward Q3, there's a new CFO stepping in mid-transition, and the stock is entering the print already beaten up and underperforming peers. That combination sets up a meaningful reaction in either direction — with the Oncor rate-case flow-through and any hard update on the Texas incremental capital as the two swing factors most likely to determine which way it breaks.</w:t>
      </w:r>
    </w:p>
    <w:p>
      <w:pPr>
        <w:pStyle w:val="BodyText"/>
      </w:pPr>
      <w:r>
        <w:rPr>
          <w:i/>
          <w:iCs/>
        </w:rPr>
        <w:t xml:space="preserve">This preview is for informational purposes and is not investment advice.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2026-08-06T00:48:07Z</dcterms:created>
  <dcterms:modified xsi:type="dcterms:W3CDTF">2026-08-06T00:48:07Z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