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re-earnings-predictions--2026-08-06"/>
    <w:p>
      <w:pPr>
        <w:pStyle w:val="Heading1"/>
      </w:pPr>
      <w:r>
        <w:t xml:space="preserve">SRE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~$1.09 vs. cons $1.06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Sempra Texas segment earnings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~$290M vs. cons $278M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Sempra Infrastructure segment earnings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~$85M vs. cons $90M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~$5.05 midpoint vs. cons $5.12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~$5.40 midpoint vs. cons $5.54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growth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~8.0% midpoint vs. cons 8.0% (2026-2030)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 Partners transaction closing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~Q3 2026 vs. cons Q3 2026 (closing period)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ECA LNG substantial completion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~Q4 2026 vs. cons Q4 2026 (completion period)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SRE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The initial relief response should reflect the Oncor-driven EPS beat and confirmation of the two transaction milestones, but the beat is largely a prior-period regulatory catch-up. Unchanged FY2026 guidance at ~$5.05 midpoint vs.</w:t>
            </w:r>
            <w:r>
              <w:t xml:space="preserve"> </w:t>
            </w:r>
            <m:oMath>
              <m:r>
                <m:t>5.12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a</m:t>
              </m:r>
              <m:r>
                <m:t>t</m:t>
              </m:r>
              <m:r>
                <m:t> </m:t>
              </m:r>
            </m:oMath>
            <w:r>
              <w:t xml:space="preserve">5.40 midpoint vs. $5.54 consensus leave out-period revision math flat to slightly negative, causing part of the day-1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2026-08-06T00:49:26Z</dcterms:created>
  <dcterms:modified xsi:type="dcterms:W3CDTF">2026-08-06T00:49:26Z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