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88830af016997faa97f3d7667f94a59e050fca7"/>
    <w:p>
      <w:pPr>
        <w:pStyle w:val="Heading1"/>
      </w:pPr>
      <w:r>
        <w:t xml:space="preserve">Sempra (NYSE: SRE) —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August 6,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Sempra plans to release results by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12:00 p.m. ET</w:t>
      </w:r>
      <w:r>
        <w:t xml:space="preserve">. (</w:t>
      </w:r>
      <w:hyperlink r:id="rId9">
        <w:r>
          <w:rPr>
            <w:rStyle w:val="Hyperlink"/>
          </w:rPr>
          <w:t xml:space="preserve">sempra.com</w:t>
        </w:r>
      </w:hyperlink>
      <w:r>
        <w:t xml:space="preserve">)</w:t>
      </w:r>
    </w:p>
    <w:bookmarkStart w:id="10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The headline EPS result matters, but this quarter is primarily an</w:t>
      </w:r>
      <w:r>
        <w:t xml:space="preserve"> </w:t>
      </w:r>
      <w:r>
        <w:rPr>
          <w:b/>
          <w:bCs/>
        </w:rPr>
        <w:t xml:space="preserve">execution and de-risking update</w:t>
      </w:r>
      <w:r>
        <w:t xml:space="preserve">. Investors will be looking for evidence that:</w:t>
      </w:r>
    </w:p>
    <w:p>
      <w:pPr>
        <w:pStyle w:val="Compact"/>
        <w:numPr>
          <w:ilvl w:val="0"/>
          <w:numId w:val="1001"/>
        </w:numPr>
      </w:pPr>
      <w:r>
        <w:t xml:space="preserve">Oncor’s improved Texas regulatory framework is translating into higher earnings and a larger capital opportunity.</w:t>
      </w:r>
    </w:p>
    <w:p>
      <w:pPr>
        <w:pStyle w:val="Compact"/>
        <w:numPr>
          <w:ilvl w:val="0"/>
          <w:numId w:val="1001"/>
        </w:numPr>
      </w:pPr>
      <w:r>
        <w:t xml:space="preserve">The $10 billion Sempra Infrastructure transaction with KKR remains on track to close in Q3.</w:t>
      </w:r>
    </w:p>
    <w:p>
      <w:pPr>
        <w:pStyle w:val="Compact"/>
        <w:numPr>
          <w:ilvl w:val="0"/>
          <w:numId w:val="1001"/>
        </w:numPr>
      </w:pPr>
      <w:r>
        <w:t xml:space="preserve">The delayed ECA LNG project will not impair 2026 or 2027 guidance.</w:t>
      </w:r>
    </w:p>
    <w:p>
      <w:pPr>
        <w:pStyle w:val="Compact"/>
        <w:numPr>
          <w:ilvl w:val="0"/>
          <w:numId w:val="1001"/>
        </w:numPr>
      </w:pPr>
      <w:r>
        <w:t xml:space="preserve">Sempra can fund its $65 billion utility capital plan without issuing common equity.</w:t>
      </w:r>
    </w:p>
    <w:p>
      <w:pPr>
        <w:pStyle w:val="Compact"/>
        <w:numPr>
          <w:ilvl w:val="0"/>
          <w:numId w:val="1001"/>
        </w:numPr>
      </w:pPr>
      <w:r>
        <w:t xml:space="preserve">Management remains confident in its 7%–9% long-term EPS growth target.</w:t>
      </w:r>
    </w:p>
    <w:p>
      <w:pPr>
        <w:pStyle w:val="FirstParagraph"/>
      </w:pPr>
      <w:r>
        <w:t xml:space="preserve">The setup is favorable for reported earnings because Oncor expects to recognize a prior-period regulatory benefit in Q2. The more important question is whether management can pair that near-term benefit with clean guidance and credible updates on the infrastructure sale and ECA LNG remediation.</w:t>
      </w:r>
    </w:p>
    <w:p>
      <w:r>
        <w:pict>
          <v:rect style="width:0;height:1.5pt" o:hralign="center" o:hrstd="t" o:hr="t"/>
        </w:pict>
      </w:r>
    </w:p>
    <w:bookmarkEnd w:id="10"/>
    <w:bookmarkStart w:id="13" w:name="earnings-expectations"/>
    <w:p>
      <w:pPr>
        <w:pStyle w:val="Heading2"/>
      </w:pPr>
      <w:r>
        <w:t xml:space="preserve">Earnings expectations</w:t>
      </w:r>
    </w:p>
    <w:p>
      <w:pPr>
        <w:pStyle w:val="FirstParagraph"/>
      </w:pPr>
      <w:r>
        <w:t xml:space="preserve">Published consensus estimates vary by provider, with Q2 adjusted EPS benchmarks ranging from approximately</w:t>
      </w:r>
      <w:r>
        <w:t xml:space="preserve"> </w:t>
      </w:r>
      <w:r>
        <w:rPr>
          <w:b/>
          <w:bCs/>
        </w:rPr>
        <w:t xml:space="preserve">$0.98 to $1.06</w:t>
      </w:r>
      <w:r>
        <w:t xml:space="preserve">. TipRanks’ current estimate is $1.06, versus adjusted EPS of $0.89 in Q2 2025—implying roughly 19% year-over-year growth. (</w:t>
      </w:r>
      <w:hyperlink r:id="rId11">
        <w:r>
          <w:rPr>
            <w:rStyle w:val="Hyperlink"/>
          </w:rPr>
          <w:t xml:space="preserve">stage.zacks.com</w:t>
        </w:r>
      </w:hyperlink>
      <w: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benchmark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0.98</m:t>
              </m:r>
              <m:r>
                <m:rPr>
                  <m:sty m:val="p"/>
                </m:rPr>
                <m:t>–</m:t>
              </m:r>
            </m:oMath>
            <w:r>
              <w:t xml:space="preserve">1.06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$0.89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4.80</m:t>
              </m:r>
              <m:r>
                <m:rPr>
                  <m:sty m:val="p"/>
                </m:rPr>
                <m:t>–</m:t>
              </m:r>
            </m:oMath>
            <w:r>
              <w:t xml:space="preserve">5.30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2027 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5.10</m:t>
              </m:r>
              <m:r>
                <m:rPr>
                  <m:sty m:val="p"/>
                </m:rPr>
                <m:t>–</m:t>
              </m:r>
            </m:oMath>
            <w:r>
              <w:t xml:space="preserve">5.70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Long-term EPS growth target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7%–9%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Sempra delivered Q1 adjusted EPS of</w:t>
      </w:r>
      <w:r>
        <w:t xml:space="preserve"> </w:t>
      </w:r>
      <w:r>
        <w:rPr>
          <w:b/>
          <w:bCs/>
        </w:rPr>
        <w:t xml:space="preserve">$1.51</w:t>
      </w:r>
      <w:r>
        <w:t xml:space="preserve">, up from</w:t>
      </w:r>
      <w:r>
        <w:t xml:space="preserve"> </w:t>
      </w:r>
      <m:oMath>
        <m:r>
          <m:t>1.44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a</m:t>
        </m:r>
        <m:r>
          <m:t>f</m:t>
        </m:r>
        <m:r>
          <m:t>f</m:t>
        </m:r>
        <m:r>
          <m:t>i</m:t>
        </m:r>
        <m:r>
          <m:t>r</m:t>
        </m:r>
        <m:r>
          <m:t>m</m:t>
        </m:r>
        <m:r>
          <m:t>e</m:t>
        </m:r>
        <m:r>
          <m:t>d</m:t>
        </m:r>
        <m:r>
          <m:t>i</m:t>
        </m:r>
        <m:r>
          <m:t>t</m:t>
        </m:r>
        <m:r>
          <m:t>s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t>s</m:t>
        </m:r>
        <m:r>
          <m:rPr>
            <m:sty m:val="p"/>
          </m:rPr>
          <m:t>.</m:t>
        </m:r>
        <m:r>
          <m:t>I</m:t>
        </m:r>
        <m:r>
          <m:t>t</m:t>
        </m:r>
        <m:r>
          <m:t>s</m:t>
        </m:r>
        <m:r>
          <m:t>2026</m:t>
        </m:r>
        <m:r>
          <m:t>s</m:t>
        </m:r>
        <m:r>
          <m:t>e</m:t>
        </m:r>
        <m:r>
          <m:t>g</m:t>
        </m:r>
        <m:r>
          <m:t>m</m:t>
        </m:r>
        <m:r>
          <m:t>e</m:t>
        </m:r>
        <m:r>
          <m:t>n</m:t>
        </m:r>
        <m:r>
          <m:t>t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c</m:t>
        </m:r>
        <m:r>
          <m:t>a</m:t>
        </m:r>
        <m:r>
          <m:t>l</m:t>
        </m:r>
        <m:r>
          <m:t>l</m:t>
        </m:r>
        <m:r>
          <m:t>s</m:t>
        </m:r>
        <m:r>
          <m:t>f</m:t>
        </m:r>
        <m:r>
          <m:t>o</m:t>
        </m:r>
        <m:r>
          <m:t>r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1.18–</w:t>
      </w:r>
      <m:oMath>
        <m:r>
          <m:t>1.26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e</m:t>
        </m:r>
        <m:r>
          <m:t>x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1.93–</w:t>
      </w:r>
      <m:oMath>
        <m:r>
          <m:t>2.06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C</m:t>
        </m:r>
        <m:r>
          <m:t>a</m:t>
        </m:r>
        <m:r>
          <m:t>l</m:t>
        </m:r>
        <m:r>
          <m:t>i</m:t>
        </m:r>
        <m:r>
          <m:t>f</m:t>
        </m:r>
        <m:r>
          <m:t>o</m:t>
        </m:r>
        <m:r>
          <m:t>r</m:t>
        </m:r>
        <m:r>
          <m:t>n</m:t>
        </m:r>
        <m:r>
          <m:t>i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290–$375 million from Sempra Infrastructure**. (</w:t>
      </w:r>
      <w:hyperlink r:id="rId12">
        <w:r>
          <w:rPr>
            <w:rStyle w:val="Hyperlink"/>
          </w:rPr>
          <w:t xml:space="preserve">sempra.com</w:t>
        </w:r>
      </w:hyperlink>
      <w:r>
        <w:t xml:space="preserve">)</w:t>
      </w:r>
    </w:p>
    <w:p>
      <w:pPr>
        <w:pStyle w:val="BodyText"/>
      </w:pPr>
      <w:r>
        <w:t xml:space="preserve">The stock was approximately</w:t>
      </w:r>
      <w:r>
        <w:t xml:space="preserve"> </w:t>
      </w:r>
      <w:r>
        <w:rPr>
          <w:b/>
          <w:bCs/>
        </w:rPr>
        <w:t xml:space="preserve">$84.68 immediately before the report</w:t>
      </w:r>
      <w:r>
        <w:t xml:space="preserve">. Using the roughly $5.12 published consensus for 2026 EPS, SRE trades near</w:t>
      </w:r>
      <w:r>
        <w:t xml:space="preserve"> </w:t>
      </w:r>
      <w:r>
        <w:rPr>
          <w:b/>
          <w:bCs/>
        </w:rPr>
        <w:t xml:space="preserve">16.5 times current-year earnings</w:t>
      </w:r>
      <w:r>
        <w:t xml:space="preserve">. (</w:t>
      </w:r>
      <w:hyperlink r:id="rId11">
        <w:r>
          <w:rPr>
            <w:rStyle w:val="Hyperlink"/>
          </w:rPr>
          <w:t xml:space="preserve">stage.zacks.com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9" w:name="X3812a6af538660e64b423322a87ca104d856b7f"/>
    <w:p>
      <w:pPr>
        <w:pStyle w:val="Heading2"/>
      </w:pPr>
      <w:r>
        <w:t xml:space="preserve">1. Texas should be the principal earnings driver</w:t>
      </w:r>
    </w:p>
    <w:bookmarkStart w:id="15" w:name="oncors-q2-regulatory-catch-up"/>
    <w:p>
      <w:pPr>
        <w:pStyle w:val="Heading3"/>
      </w:pPr>
      <w:r>
        <w:t xml:space="preserve">Oncor’s Q2 regulatory catch-up</w:t>
      </w:r>
    </w:p>
    <w:p>
      <w:pPr>
        <w:pStyle w:val="FirstParagraph"/>
      </w:pPr>
      <w:r>
        <w:t xml:space="preserve">The clearest positive earnings catalyst is Oncor’s new base-rate order. The approved framework includes:</w:t>
      </w:r>
    </w:p>
    <w:p>
      <w:pPr>
        <w:pStyle w:val="Compact"/>
        <w:numPr>
          <w:ilvl w:val="0"/>
          <w:numId w:val="1002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9.75% authorized ROE</w:t>
      </w:r>
    </w:p>
    <w:p>
      <w:pPr>
        <w:pStyle w:val="Compact"/>
        <w:numPr>
          <w:ilvl w:val="0"/>
          <w:numId w:val="1002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43.5% equity layer</w:t>
      </w:r>
    </w:p>
    <w:p>
      <w:pPr>
        <w:pStyle w:val="Compact"/>
        <w:numPr>
          <w:ilvl w:val="0"/>
          <w:numId w:val="1002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4.94% authorized cost of debt</w:t>
      </w:r>
    </w:p>
    <w:p>
      <w:pPr>
        <w:pStyle w:val="Compact"/>
        <w:numPr>
          <w:ilvl w:val="0"/>
          <w:numId w:val="1002"/>
        </w:numPr>
      </w:pPr>
      <w:r>
        <w:t xml:space="preserve">New rates effective June 1</w:t>
      </w:r>
    </w:p>
    <w:p>
      <w:pPr>
        <w:pStyle w:val="Compact"/>
        <w:numPr>
          <w:ilvl w:val="0"/>
          <w:numId w:val="1002"/>
        </w:numPr>
      </w:pPr>
      <w:r>
        <w:t xml:space="preserve">Recovery dating back to January 1 through a surcharge mechanism</w:t>
      </w:r>
    </w:p>
    <w:p>
      <w:pPr>
        <w:pStyle w:val="FirstParagraph"/>
      </w:pPr>
      <w:r>
        <w:t xml:space="preserve">Oncor previously estimated that recognizing the Q1 effects of the order in Q2 would increase its second-quarter earnings by approximately</w:t>
      </w:r>
      <w:r>
        <w:t xml:space="preserve"> </w:t>
      </w:r>
      <w:r>
        <w:rPr>
          <w:b/>
          <w:bCs/>
        </w:rPr>
        <w:t xml:space="preserve">$70 million</w:t>
      </w:r>
      <w:r>
        <w:t xml:space="preserve">. Sempra owns 80.25% of Oncor, making this a potentially meaningful contribution to Sempra Texas earnings, although the precise consolidated impact will depend on taxes, holding-company costs and other adjustments. (</w:t>
      </w:r>
      <w:hyperlink r:id="rId14">
        <w:r>
          <w:rPr>
            <w:rStyle w:val="Hyperlink"/>
          </w:rPr>
          <w:t xml:space="preserve">oncor.com</w:t>
        </w:r>
      </w:hyperlink>
      <w:r>
        <w:t xml:space="preserve">)</w:t>
      </w:r>
    </w:p>
    <w:p>
      <w:pPr>
        <w:pStyle w:val="BodyText"/>
      </w:pPr>
      <w:r>
        <w:t xml:space="preserve">Investors should separate this catch-up from the recurring earnings run rate. A strong EPS beat driven mainly by the $70 million timing benefit would be less significant than evidence that Oncor is now earning sustainably closer to its authorized return.</w:t>
      </w:r>
    </w:p>
    <w:bookmarkEnd w:id="15"/>
    <w:bookmarkStart w:id="16" w:name="unified-tracker-mechanism"/>
    <w:p>
      <w:pPr>
        <w:pStyle w:val="Heading3"/>
      </w:pPr>
      <w:r>
        <w:t xml:space="preserve">Unified Tracker Mechanism</w:t>
      </w:r>
    </w:p>
    <w:p>
      <w:pPr>
        <w:pStyle w:val="FirstParagraph"/>
      </w:pPr>
      <w:r>
        <w:t xml:space="preserve">Oncor’s first Unified Tracker Mechanism filing seeks recovery for approximately</w:t>
      </w:r>
      <w:r>
        <w:t xml:space="preserve"> </w:t>
      </w:r>
      <m:oMath>
        <m:r>
          <m:t>4.4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e</m:t>
        </m:r>
        <m:r>
          <m:t>l</m:t>
        </m:r>
        <m:r>
          <m:t>i</m:t>
        </m:r>
        <m:r>
          <m:t>g</m:t>
        </m:r>
        <m:r>
          <m:t>i</m:t>
        </m:r>
        <m:r>
          <m:t>b</m:t>
        </m:r>
        <m:r>
          <m:t>l</m:t>
        </m:r>
        <m:r>
          <m:t>e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m</m:t>
        </m:r>
        <m:r>
          <m:t>i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t>a</m:t>
        </m:r>
        <m:r>
          <m:t>n</m:t>
        </m:r>
        <m:r>
          <m:t>d</m:t>
        </m:r>
        <m:r>
          <m:t>d</m:t>
        </m:r>
        <m:r>
          <m:t>i</m:t>
        </m:r>
        <m:r>
          <m:t>s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p</m:t>
        </m:r>
        <m:r>
          <m:t>l</m:t>
        </m:r>
        <m:r>
          <m:t>a</m:t>
        </m:r>
        <m:r>
          <m:t>c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o</m:t>
        </m:r>
        <m:r>
          <m:t>s</m:t>
        </m:r>
        <m:r>
          <m:t>e</m:t>
        </m:r>
        <m:r>
          <m:t>r</m:t>
        </m:r>
        <m:r>
          <m:t>v</m:t>
        </m:r>
        <m:r>
          <m:t>i</m:t>
        </m:r>
        <m:r>
          <m:t>c</m:t>
        </m:r>
        <m:r>
          <m:t>e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2025</m:t>
        </m:r>
        <m:r>
          <m:rPr>
            <m:sty m:val="p"/>
          </m:rPr>
          <m:t>.</m:t>
        </m:r>
        <m:r>
          <m:t>I</m:t>
        </m:r>
        <m:r>
          <m:t>f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v</m:t>
        </m:r>
        <m:r>
          <m:t>e</m:t>
        </m:r>
        <m:r>
          <m:t>d</m:t>
        </m:r>
        <m:r>
          <m:t>a</m:t>
        </m:r>
        <m:r>
          <m:t>s</m:t>
        </m:r>
        <m:r>
          <m:t>r</m:t>
        </m:r>
        <m:r>
          <m:t>e</m:t>
        </m:r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,</m:t>
        </m:r>
        <m:r>
          <m:t>O</m:t>
        </m:r>
        <m:r>
          <m:t>n</m:t>
        </m:r>
        <m:r>
          <m:t>c</m:t>
        </m:r>
        <m:r>
          <m:t>o</m:t>
        </m:r>
        <m:r>
          <m:t>r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a</m:t>
        </m:r>
        <m:r>
          <m:t>n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n</m:t>
        </m:r>
        <m:r>
          <m:t>e</m:t>
        </m:r>
        <m:r>
          <m:t>t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o</m:t>
        </m:r>
        <m:r>
          <m:t>f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550 million</w:t>
      </w:r>
      <w:r>
        <w:t xml:space="preserve">, with a final order and updated rates expected in the second half of 2026. (</w:t>
      </w:r>
      <w:hyperlink r:id="rId14">
        <w:r>
          <w:rPr>
            <w:rStyle w:val="Hyperlink"/>
          </w:rPr>
          <w:t xml:space="preserve">oncor.com</w:t>
        </w:r>
      </w:hyperlink>
      <w:r>
        <w:t xml:space="preserve">)</w:t>
      </w:r>
    </w:p>
    <w:p>
      <w:pPr>
        <w:pStyle w:val="BodyText"/>
      </w:pPr>
      <w:r>
        <w:t xml:space="preserve">Key questions for the call:</w:t>
      </w:r>
    </w:p>
    <w:p>
      <w:pPr>
        <w:pStyle w:val="Compact"/>
        <w:numPr>
          <w:ilvl w:val="0"/>
          <w:numId w:val="1003"/>
        </w:numPr>
      </w:pPr>
      <w:r>
        <w:t xml:space="preserve">Is the UTM proceeding still on schedule?</w:t>
      </w:r>
    </w:p>
    <w:p>
      <w:pPr>
        <w:pStyle w:val="Compact"/>
        <w:numPr>
          <w:ilvl w:val="0"/>
          <w:numId w:val="1003"/>
        </w:numPr>
      </w:pPr>
      <w:r>
        <w:t xml:space="preserve">Has the requested revenue amount changed?</w:t>
      </w:r>
    </w:p>
    <w:p>
      <w:pPr>
        <w:pStyle w:val="Compact"/>
        <w:numPr>
          <w:ilvl w:val="0"/>
          <w:numId w:val="1003"/>
        </w:numPr>
      </w:pPr>
      <w:r>
        <w:t xml:space="preserve">When would the earnings benefit begin?</w:t>
      </w:r>
    </w:p>
    <w:p>
      <w:pPr>
        <w:pStyle w:val="Compact"/>
        <w:numPr>
          <w:ilvl w:val="0"/>
          <w:numId w:val="1003"/>
        </w:numPr>
      </w:pPr>
      <w:r>
        <w:t xml:space="preserve">How close can Oncor now get to its 9.75% authorized ROE?</w:t>
      </w:r>
    </w:p>
    <w:p>
      <w:pPr>
        <w:pStyle w:val="Compact"/>
        <w:numPr>
          <w:ilvl w:val="0"/>
          <w:numId w:val="1003"/>
        </w:numPr>
      </w:pPr>
      <w:r>
        <w:t xml:space="preserve">Are higher labor, equipment and financing costs offsetting part of the regulatory improvement?</w:t>
      </w:r>
    </w:p>
    <w:bookmarkEnd w:id="16"/>
    <w:bookmarkStart w:id="18" w:name="capital-plan-upside-is-becoming-tangible"/>
    <w:p>
      <w:pPr>
        <w:pStyle w:val="Heading3"/>
      </w:pPr>
      <w:r>
        <w:t xml:space="preserve">Capital-plan upside is becoming tangible</w:t>
      </w:r>
    </w:p>
    <w:p>
      <w:pPr>
        <w:pStyle w:val="FirstParagraph"/>
      </w:pPr>
      <w:r>
        <w:t xml:space="preserve">Sempra’s Q1 message was that Oncor had approximately $10 billion of potential capital opportunities beyond its</w:t>
      </w:r>
      <w:r>
        <w:t xml:space="preserve"> </w:t>
      </w:r>
      <m:oMath>
        <m:r>
          <m:t>47.5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2026</m:t>
        </m:r>
        <m:r>
          <m:rPr>
            <m:sty m:val="p"/>
          </m:rPr>
          <m:t>–</m:t>
        </m:r>
        <m:r>
          <m:t>2030</m:t>
        </m:r>
        <m:r>
          <m:t>b</m:t>
        </m:r>
        <m:r>
          <m:t>a</m:t>
        </m:r>
        <m:r>
          <m:t>s</m:t>
        </m:r>
        <m:r>
          <m:t>e</m:t>
        </m:r>
        <m:r>
          <m:t>p</m:t>
        </m:r>
        <m:r>
          <m:t>l</m:t>
        </m:r>
        <m:r>
          <m:t>a</m:t>
        </m:r>
        <m:r>
          <m:t>n</m:t>
        </m:r>
        <m:r>
          <m:rPr>
            <m:sty m:val="p"/>
          </m:rPr>
          <m:t>.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t</m:t>
        </m:r>
        <m:r>
          <m:t>h</m:t>
        </m:r>
        <m:r>
          <m:t>e</m:t>
        </m:r>
        <m:r>
          <m:t>n</m:t>
        </m:r>
        <m:r>
          <m:rPr>
            <m:sty m:val="p"/>
          </m:rPr>
          <m:t>,</m:t>
        </m:r>
        <m:r>
          <m:t>E</m:t>
        </m:r>
        <m:r>
          <m:t>R</m:t>
        </m:r>
        <m:r>
          <m:t>C</m:t>
        </m:r>
        <m:r>
          <m:t>O</m:t>
        </m:r>
        <m:r>
          <m:t>T</m:t>
        </m:r>
        <m:r>
          <m:t>h</m:t>
        </m:r>
        <m:r>
          <m:t>a</m:t>
        </m:r>
        <m:r>
          <m:t>s</m:t>
        </m:r>
        <m:r>
          <m:t>e</m:t>
        </m:r>
        <m:r>
          <m:t>n</m:t>
        </m:r>
        <m:r>
          <m:t>d</m:t>
        </m:r>
        <m:r>
          <m:t>o</m:t>
        </m:r>
        <m:r>
          <m:t>r</m:t>
        </m:r>
        <m:r>
          <m:t>s</m:t>
        </m:r>
        <m:r>
          <m:t>e</m:t>
        </m:r>
        <m:r>
          <m:t>d</m:t>
        </m:r>
        <m:r>
          <m:t>p</m:t>
        </m:r>
        <m:r>
          <m:t>r</m:t>
        </m:r>
        <m:r>
          <m:t>o</m:t>
        </m:r>
        <m:r>
          <m:t>j</m:t>
        </m:r>
        <m:r>
          <m:t>e</m:t>
        </m:r>
        <m:r>
          <m:t>c</m:t>
        </m:r>
        <m:r>
          <m:t>t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r</m:t>
        </m:r>
        <m:r>
          <m:t>e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 billion** of investment and support about</w:t>
      </w:r>
      <w:r>
        <w:t xml:space="preserve"> </w:t>
      </w:r>
      <w:r>
        <w:rPr>
          <w:b/>
          <w:bCs/>
        </w:rPr>
        <w:t xml:space="preserve">16 GW</w:t>
      </w:r>
      <w:r>
        <w:t xml:space="preserve"> </w:t>
      </w:r>
      <w:r>
        <w:t xml:space="preserve">of new demand. Oncor expects to build most of those projects; spending through 2030 is included in the previously identified $10 billion upside bucket, with additional investment extending beyond 2030. (</w:t>
      </w:r>
      <w:hyperlink r:id="rId17">
        <w:r>
          <w:rPr>
            <w:rStyle w:val="Hyperlink"/>
          </w:rPr>
          <w:t xml:space="preserve">sempra.com</w:t>
        </w:r>
      </w:hyperlink>
      <w:r>
        <w:t xml:space="preserve">)</w:t>
      </w:r>
    </w:p>
    <w:p>
      <w:pPr>
        <w:pStyle w:val="BodyText"/>
      </w:pPr>
      <w:r>
        <w:t xml:space="preserve">This may be the most important long-term item in the report. Investors should listen for whether management:</w:t>
      </w:r>
    </w:p>
    <w:p>
      <w:pPr>
        <w:pStyle w:val="Compact"/>
        <w:numPr>
          <w:ilvl w:val="0"/>
          <w:numId w:val="1004"/>
        </w:numPr>
      </w:pPr>
      <w:r>
        <w:t xml:space="preserve">Moves any of the $10 billion opportunity into the formal base plan.</w:t>
      </w:r>
    </w:p>
    <w:p>
      <w:pPr>
        <w:pStyle w:val="Compact"/>
        <w:numPr>
          <w:ilvl w:val="0"/>
          <w:numId w:val="1004"/>
        </w:numPr>
      </w:pPr>
      <w:r>
        <w:t xml:space="preserve">Raises the broader $9 billion Sempra-level capital-upside estimate.</w:t>
      </w:r>
    </w:p>
    <w:p>
      <w:pPr>
        <w:pStyle w:val="Compact"/>
        <w:numPr>
          <w:ilvl w:val="0"/>
          <w:numId w:val="1004"/>
        </w:numPr>
      </w:pPr>
      <w:r>
        <w:t xml:space="preserve">Discusses how the incremental capital would be funded.</w:t>
      </w:r>
    </w:p>
    <w:p>
      <w:pPr>
        <w:pStyle w:val="Compact"/>
        <w:numPr>
          <w:ilvl w:val="0"/>
          <w:numId w:val="1004"/>
        </w:numPr>
      </w:pPr>
      <w:r>
        <w:t xml:space="preserve">Provides updated large-load and data-center demand figures.</w:t>
      </w:r>
    </w:p>
    <w:p>
      <w:pPr>
        <w:pStyle w:val="Compact"/>
        <w:numPr>
          <w:ilvl w:val="0"/>
          <w:numId w:val="1004"/>
        </w:numPr>
      </w:pPr>
      <w:r>
        <w:t xml:space="preserve">Confirms that supply-chain and labor capacity can support the higher build rate.</w:t>
      </w:r>
    </w:p>
    <w:p>
      <w:pPr>
        <w:pStyle w:val="FirstParagraph"/>
      </w:pPr>
      <w:r>
        <w:t xml:space="preserve">A larger plan is valuable only if the projects receive timely regulatory approval, earn acceptable returns and do not require unexpected equity issuance.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1" w:name="X53ea38ef4361210b38c3387d0d8c832b17ede8b"/>
    <w:p>
      <w:pPr>
        <w:pStyle w:val="Heading2"/>
      </w:pPr>
      <w:r>
        <w:t xml:space="preserve">2. ECA LNG is the largest near-term risk</w:t>
      </w:r>
    </w:p>
    <w:p>
      <w:pPr>
        <w:pStyle w:val="FirstParagraph"/>
      </w:pPr>
      <w:r>
        <w:t xml:space="preserve">On July 27, Sempra disclosed that ECA LNG Phase 1 had found damage in its refrigerant compressors after loading its first cargo. Substantial completion has moved to</w:t>
      </w:r>
      <w:r>
        <w:t xml:space="preserve"> </w:t>
      </w:r>
      <w:r>
        <w:rPr>
          <w:b/>
          <w:bCs/>
        </w:rPr>
        <w:t xml:space="preserve">Q4 2026</w:t>
      </w:r>
      <w:r>
        <w:t xml:space="preserve">, versus the prior summer target, while the root-cause investigation and remediation continue. (</w:t>
      </w:r>
      <w:hyperlink r:id="rId20">
        <w:r>
          <w:rPr>
            <w:rStyle w:val="Hyperlink"/>
          </w:rPr>
          <w:t xml:space="preserve">sempra.com</w:t>
        </w:r>
      </w:hyperlink>
      <w:r>
        <w:t xml:space="preserve">)</w:t>
      </w:r>
    </w:p>
    <w:p>
      <w:pPr>
        <w:pStyle w:val="BodyText"/>
      </w:pPr>
      <w:r>
        <w:t xml:space="preserve">Sempra Infrastructure said the delay is</w:t>
      </w:r>
      <w:r>
        <w:t xml:space="preserve"> </w:t>
      </w:r>
      <w:r>
        <w:rPr>
          <w:b/>
          <w:bCs/>
        </w:rPr>
        <w:t xml:space="preserve">not expected to reduce its planned 2026 or 2027 segment earnings contribution</w:t>
      </w:r>
      <w:r>
        <w:t xml:space="preserve">, and Port Arthur LNG Phases 1 and 2 remain on time and on budget. (</w:t>
      </w:r>
      <w:hyperlink r:id="rId20">
        <w:r>
          <w:rPr>
            <w:rStyle w:val="Hyperlink"/>
          </w:rPr>
          <w:t xml:space="preserve">sempra.com</w:t>
        </w:r>
      </w:hyperlink>
      <w:r>
        <w:t xml:space="preserve">)</w:t>
      </w:r>
    </w:p>
    <w:p>
      <w:pPr>
        <w:pStyle w:val="BodyText"/>
      </w:pPr>
      <w:r>
        <w:t xml:space="preserve">That reassurance now needs detail. The market will want answers to four questions: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caused the compressor damage?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How much will remediation cost, and who bears it?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assumptions allow management to maintain 2026 and 2027 earnings guidance?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is the downside if substantial completion slips beyond Q4?</w:t>
      </w:r>
    </w:p>
    <w:p>
      <w:pPr>
        <w:pStyle w:val="FirstParagraph"/>
      </w:pPr>
      <w:r>
        <w:t xml:space="preserve">A vague answer would leave open the risk of additional delays, remediation spending or contractual exposure. A specific repair schedule, defined cost responsibility and reiterated guidance would materially reduce the overhang.</w:t>
      </w:r>
    </w:p>
    <w:p>
      <w:pPr>
        <w:pStyle w:val="BodyText"/>
      </w:pPr>
      <w:r>
        <w:t xml:space="preserve">Because Sempra is selling control of the infrastructure business, investors will also want to know whether the ECA issue affects the KKR transaction’s closing conditions, valuation or payment schedule.</w:t>
      </w:r>
    </w:p>
    <w:p>
      <w:r>
        <w:pict>
          <v:rect style="width:0;height:1.5pt" o:hralign="center" o:hrstd="t" o:hr="t"/>
        </w:pict>
      </w:r>
    </w:p>
    <w:bookmarkEnd w:id="21"/>
    <w:bookmarkStart w:id="23" w:name="X27c1a670dc19b7627faea9b75523f4809ff094f"/>
    <w:p>
      <w:pPr>
        <w:pStyle w:val="Heading2"/>
      </w:pPr>
      <w:r>
        <w:t xml:space="preserve">3. The KKR closing is more important than a modest EPS beat</w:t>
      </w:r>
    </w:p>
    <w:p>
      <w:pPr>
        <w:pStyle w:val="FirstParagraph"/>
      </w:pPr>
      <w:r>
        <w:t xml:space="preserve">Sempra continues to expect the sale of a 45% interest in Sempra Infrastructure Partners to close in</w:t>
      </w:r>
      <w:r>
        <w:t xml:space="preserve"> </w:t>
      </w:r>
      <w:r>
        <w:rPr>
          <w:b/>
          <w:bCs/>
        </w:rPr>
        <w:t xml:space="preserve">Q3 2026</w:t>
      </w:r>
      <w:r>
        <w:t xml:space="preserve">. Following closing, KKR affiliates will own 65%, Sempra will retain 25%, and ADIA will retain 10%. The transaction is intended to deconsolidate infrastructure debt, fund utility investment and eliminate the need for common-equity issuance under the base capital plan. (</w:t>
      </w:r>
      <w:hyperlink r:id="rId20">
        <w:r>
          <w:rPr>
            <w:rStyle w:val="Hyperlink"/>
          </w:rPr>
          <w:t xml:space="preserve">sempra.com</w:t>
        </w:r>
      </w:hyperlink>
      <w:r>
        <w:t xml:space="preserve">)</w:t>
      </w:r>
    </w:p>
    <w:p>
      <w:pPr>
        <w:pStyle w:val="BodyText"/>
      </w:pPr>
      <w:r>
        <w:t xml:space="preserve">Leadership appointments made in July are tied to the transaction: Justin Bird is expected to become Sempra CFO, while Karen Sedgwick will become CEO and president of SoCalGas, on or around closing.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6"/>
        </w:numPr>
      </w:pPr>
      <w:r>
        <w:t xml:space="preserve">Whether all material third-party consents are now in hand.</w:t>
      </w:r>
    </w:p>
    <w:p>
      <w:pPr>
        <w:pStyle w:val="Compact"/>
        <w:numPr>
          <w:ilvl w:val="0"/>
          <w:numId w:val="1006"/>
        </w:numPr>
      </w:pPr>
      <w:r>
        <w:t xml:space="preserve">A narrower expected closing date.</w:t>
      </w:r>
    </w:p>
    <w:p>
      <w:pPr>
        <w:pStyle w:val="Compact"/>
        <w:numPr>
          <w:ilvl w:val="0"/>
          <w:numId w:val="1006"/>
        </w:numPr>
      </w:pPr>
      <w:r>
        <w:t xml:space="preserve">Whether transaction economics or payment timing have changed.</w:t>
      </w:r>
    </w:p>
    <w:p>
      <w:pPr>
        <w:pStyle w:val="Compact"/>
        <w:numPr>
          <w:ilvl w:val="0"/>
          <w:numId w:val="1006"/>
        </w:numPr>
      </w:pPr>
      <w:r>
        <w:t xml:space="preserve">The amount of parent debt to be repaid after closing.</w:t>
      </w:r>
    </w:p>
    <w:p>
      <w:pPr>
        <w:pStyle w:val="Compact"/>
        <w:numPr>
          <w:ilvl w:val="0"/>
          <w:numId w:val="1006"/>
        </w:numPr>
      </w:pPr>
      <w:r>
        <w:t xml:space="preserve">When rating agencies could revise Sempra’s negative outlooks.</w:t>
      </w:r>
    </w:p>
    <w:p>
      <w:pPr>
        <w:pStyle w:val="Compact"/>
        <w:numPr>
          <w:ilvl w:val="0"/>
          <w:numId w:val="1006"/>
        </w:numPr>
      </w:pPr>
      <w:r>
        <w:t xml:space="preserve">Whether ECA LNG remediation affects the deal in any way.</w:t>
      </w:r>
    </w:p>
    <w:p>
      <w:pPr>
        <w:pStyle w:val="FirstParagraph"/>
      </w:pPr>
      <w:r>
        <w:t xml:space="preserve">A slip beyond Q3 would be a clear negative because it would delay debt deconsolidation, capital recycling and the company’s transition toward a predominantly regulated utility earnings mix.</w:t>
      </w:r>
    </w:p>
    <w:bookmarkStart w:id="22" w:name="ecogas"/>
    <w:p>
      <w:pPr>
        <w:pStyle w:val="Heading3"/>
      </w:pPr>
      <w:r>
        <w:t xml:space="preserve">Ecogas</w:t>
      </w:r>
    </w:p>
    <w:p>
      <w:pPr>
        <w:pStyle w:val="FirstParagraph"/>
      </w:pPr>
      <w:r>
        <w:t xml:space="preserve">The Ecogas sale has received Mexican antitrust approval and is expected to close in</w:t>
      </w:r>
      <w:r>
        <w:t xml:space="preserve"> </w:t>
      </w:r>
      <w:r>
        <w:rPr>
          <w:b/>
          <w:bCs/>
        </w:rPr>
        <w:t xml:space="preserve">August</w:t>
      </w:r>
      <w:r>
        <w:t xml:space="preserve">, generating approximately</w:t>
      </w:r>
      <w:r>
        <w:t xml:space="preserve"> </w:t>
      </w:r>
      <w:r>
        <w:rPr>
          <w:b/>
          <w:bCs/>
        </w:rPr>
        <w:t xml:space="preserve">$500 million</w:t>
      </w:r>
      <w:r>
        <w:t xml:space="preserve"> </w:t>
      </w:r>
      <w:r>
        <w:t xml:space="preserve">in proceeds. Confirmation that the closing is imminent would be another useful sign that the capital-recycling program is moving as planned. (</w:t>
      </w:r>
      <w:hyperlink r:id="rId20">
        <w:r>
          <w:rPr>
            <w:rStyle w:val="Hyperlink"/>
          </w:rPr>
          <w:t xml:space="preserve">sempra.com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X06e5914862595d61069f7dc901395324c64beb6"/>
    <w:p>
      <w:pPr>
        <w:pStyle w:val="Heading2"/>
      </w:pPr>
      <w:r>
        <w:t xml:space="preserve">4. California: stable near-term earnings, long-term regulatory sensitivity</w:t>
      </w:r>
    </w:p>
    <w:p>
      <w:pPr>
        <w:pStyle w:val="FirstParagraph"/>
      </w:pPr>
      <w:r>
        <w:t xml:space="preserve">SDG&amp;E and SoCalGas filed their 2028 general rate cases on June 15, requesting new test-year revenue requirements and annual adjustments through 2031. The filings support Sempra California’s long-term capital program but also reinforce the tension between infrastructure investment and customer affordability. (</w:t>
      </w:r>
      <w:hyperlink r:id="rId2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Q2 call should address:</w:t>
      </w:r>
    </w:p>
    <w:p>
      <w:pPr>
        <w:pStyle w:val="Compact"/>
        <w:numPr>
          <w:ilvl w:val="0"/>
          <w:numId w:val="1007"/>
        </w:numPr>
      </w:pPr>
      <w:r>
        <w:t xml:space="preserve">Initial regulatory and stakeholder reaction to the filings.</w:t>
      </w:r>
    </w:p>
    <w:p>
      <w:pPr>
        <w:pStyle w:val="Compact"/>
        <w:numPr>
          <w:ilvl w:val="0"/>
          <w:numId w:val="1007"/>
        </w:numPr>
      </w:pPr>
      <w:r>
        <w:t xml:space="preserve">Cost-control benefits from the “Fit for 2026” program.</w:t>
      </w:r>
    </w:p>
    <w:p>
      <w:pPr>
        <w:pStyle w:val="Compact"/>
        <w:numPr>
          <w:ilvl w:val="0"/>
          <w:numId w:val="1007"/>
        </w:numPr>
      </w:pPr>
      <w:r>
        <w:t xml:space="preserve">The expected timing of SDG&amp;E’s TO6 transmission-rate settlement.</w:t>
      </w:r>
    </w:p>
    <w:p>
      <w:pPr>
        <w:pStyle w:val="Compact"/>
        <w:numPr>
          <w:ilvl w:val="0"/>
          <w:numId w:val="1007"/>
        </w:numPr>
      </w:pPr>
      <w:r>
        <w:t xml:space="preserve">Wildfire liability and insurance developments.</w:t>
      </w:r>
    </w:p>
    <w:p>
      <w:pPr>
        <w:pStyle w:val="Compact"/>
        <w:numPr>
          <w:ilvl w:val="0"/>
          <w:numId w:val="1007"/>
        </w:numPr>
      </w:pPr>
      <w:r>
        <w:t xml:space="preserve">Whether affordability pressures could constrain the planned $23.5 billion California capital program.</w:t>
      </w:r>
    </w:p>
    <w:p>
      <w:pPr>
        <w:pStyle w:val="FirstParagraph"/>
      </w:pPr>
      <w:r>
        <w:t xml:space="preserve">California is unlikely to determine the Q2 EPS surprise, but it remains a major source of regulatory and valuation risk.</w:t>
      </w:r>
    </w:p>
    <w:p>
      <w:r>
        <w:pict>
          <v:rect style="width:0;height:1.5pt" o:hralign="center" o:hrstd="t" o:hr="t"/>
        </w:pict>
      </w:r>
    </w:p>
    <w:bookmarkEnd w:id="25"/>
    <w:bookmarkStart w:id="28" w:name="what-would-constitute-a-strong-report"/>
    <w:p>
      <w:pPr>
        <w:pStyle w:val="Heading2"/>
      </w:pPr>
      <w:r>
        <w:t xml:space="preserve">What would constitute a strong report?</w:t>
      </w:r>
    </w:p>
    <w:bookmarkStart w:id="26" w:name="positive-outcome"/>
    <w:p>
      <w:pPr>
        <w:pStyle w:val="Heading3"/>
      </w:pPr>
      <w:r>
        <w:t xml:space="preserve">Positive outcome</w:t>
      </w:r>
    </w:p>
    <w:p>
      <w:pPr>
        <w:pStyle w:val="Compact"/>
        <w:numPr>
          <w:ilvl w:val="0"/>
          <w:numId w:val="1008"/>
        </w:numPr>
      </w:pPr>
      <w:r>
        <w:t xml:space="preserve">Adjusted EPS above approximately $1.06, with strength beyond the known Oncor catch-up.</w:t>
      </w:r>
    </w:p>
    <w:p>
      <w:pPr>
        <w:pStyle w:val="Compact"/>
        <w:numPr>
          <w:ilvl w:val="0"/>
          <w:numId w:val="1008"/>
        </w:numPr>
      </w:pPr>
      <w:r>
        <w:t xml:space="preserve">Full-year guidance maintained and management indicating performance in the upper half.</w:t>
      </w:r>
    </w:p>
    <w:p>
      <w:pPr>
        <w:pStyle w:val="Compact"/>
        <w:numPr>
          <w:ilvl w:val="0"/>
          <w:numId w:val="1008"/>
        </w:numPr>
      </w:pPr>
      <w:r>
        <w:t xml:space="preserve">A firm Q3 closing timetable for the KKR transaction.</w:t>
      </w:r>
    </w:p>
    <w:p>
      <w:pPr>
        <w:pStyle w:val="Compact"/>
        <w:numPr>
          <w:ilvl w:val="0"/>
          <w:numId w:val="1008"/>
        </w:numPr>
      </w:pPr>
      <w:r>
        <w:t xml:space="preserve">Ecogas closing confirmed for August.</w:t>
      </w:r>
    </w:p>
    <w:p>
      <w:pPr>
        <w:pStyle w:val="Compact"/>
        <w:numPr>
          <w:ilvl w:val="0"/>
          <w:numId w:val="1008"/>
        </w:numPr>
      </w:pPr>
      <w:r>
        <w:t xml:space="preserve">Detailed ECA LNG remediation plan with no change to 2026 or 2027 guidance.</w:t>
      </w:r>
    </w:p>
    <w:p>
      <w:pPr>
        <w:pStyle w:val="Compact"/>
        <w:numPr>
          <w:ilvl w:val="0"/>
          <w:numId w:val="1008"/>
        </w:numPr>
      </w:pPr>
      <w:r>
        <w:t xml:space="preserve">More of Oncor’s $10 billion upside opportunity moving toward the formal capital plan.</w:t>
      </w:r>
    </w:p>
    <w:p>
      <w:pPr>
        <w:pStyle w:val="Compact"/>
        <w:numPr>
          <w:ilvl w:val="0"/>
          <w:numId w:val="1008"/>
        </w:numPr>
      </w:pPr>
      <w:r>
        <w:t xml:space="preserve">Reaffirmation that no common equity is needed for the base plan.</w:t>
      </w:r>
    </w:p>
    <w:bookmarkEnd w:id="26"/>
    <w:bookmarkStart w:id="27" w:name="negative-outcome"/>
    <w:p>
      <w:pPr>
        <w:pStyle w:val="Heading3"/>
      </w:pPr>
      <w:r>
        <w:t xml:space="preserve">Negative outcome</w:t>
      </w:r>
    </w:p>
    <w:p>
      <w:pPr>
        <w:pStyle w:val="Compact"/>
        <w:numPr>
          <w:ilvl w:val="0"/>
          <w:numId w:val="1009"/>
        </w:numPr>
      </w:pPr>
      <w:r>
        <w:t xml:space="preserve">Guidance merely maintained despite the Oncor catch-up, implying weakness elsewhere.</w:t>
      </w:r>
    </w:p>
    <w:p>
      <w:pPr>
        <w:pStyle w:val="Compact"/>
        <w:numPr>
          <w:ilvl w:val="0"/>
          <w:numId w:val="1009"/>
        </w:numPr>
      </w:pPr>
      <w:r>
        <w:t xml:space="preserve">ECA LNG repair costs or timing remain unclear.</w:t>
      </w:r>
    </w:p>
    <w:p>
      <w:pPr>
        <w:pStyle w:val="Compact"/>
        <w:numPr>
          <w:ilvl w:val="0"/>
          <w:numId w:val="1009"/>
        </w:numPr>
      </w:pPr>
      <w:r>
        <w:t xml:space="preserve">Any indication that the KKR closing could slip beyond Q3.</w:t>
      </w:r>
    </w:p>
    <w:p>
      <w:pPr>
        <w:pStyle w:val="Compact"/>
        <w:numPr>
          <w:ilvl w:val="0"/>
          <w:numId w:val="1009"/>
        </w:numPr>
      </w:pPr>
      <w:r>
        <w:t xml:space="preserve">A reduction in Sempra Infrastructure’s 2026 or 2027 guidance.</w:t>
      </w:r>
    </w:p>
    <w:p>
      <w:pPr>
        <w:pStyle w:val="Compact"/>
        <w:numPr>
          <w:ilvl w:val="0"/>
          <w:numId w:val="1009"/>
        </w:numPr>
      </w:pPr>
      <w:r>
        <w:t xml:space="preserve">Evidence of significant labor, supply-chain or financing-cost pressure at Oncor.</w:t>
      </w:r>
    </w:p>
    <w:p>
      <w:pPr>
        <w:pStyle w:val="Compact"/>
        <w:numPr>
          <w:ilvl w:val="0"/>
          <w:numId w:val="1009"/>
        </w:numPr>
      </w:pPr>
      <w:r>
        <w:t xml:space="preserve">New equity needs to finance an expanded Texas plan.</w:t>
      </w:r>
    </w:p>
    <w:p>
      <w:pPr>
        <w:pStyle w:val="Compact"/>
        <w:numPr>
          <w:ilvl w:val="0"/>
          <w:numId w:val="1009"/>
        </w:numPr>
      </w:pPr>
      <w:r>
        <w:t xml:space="preserve">More cautious language around the 7%–9% long-term EPS growth target.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likely Q2 earnings benefit from Oncor means the numerical setup is relatively favorable. But a beat alone will not settle the investment debate.</w:t>
      </w:r>
    </w:p>
    <w:p>
      <w:pPr>
        <w:pStyle w:val="BodyText"/>
      </w:pPr>
      <w:r>
        <w:t xml:space="preserve">The most valuable outcome would be a</w:t>
      </w:r>
      <w:r>
        <w:t xml:space="preserve"> </w:t>
      </w:r>
      <w:r>
        <w:rPr>
          <w:b/>
          <w:bCs/>
        </w:rPr>
        <w:t xml:space="preserve">clean, detailed update that de-risks ECA LNG, confirms the KKR closing and demonstrates that Oncor’s incremental Texas opportunity is converting into approved, financeable capital investment</w:t>
      </w:r>
      <w:r>
        <w:t xml:space="preserve">. If management accomplishes those three things while maintaining guidance, the report should strengthen the case that Sempra is successfully becoming a faster-growing, predominantly regulated U.S. utility.</w:t>
      </w:r>
    </w:p>
    <w:p>
      <w:pPr>
        <w:pStyle w:val="BodyText"/>
      </w:pPr>
      <w:r>
        <w:t xml:space="preserve">Conversely, further ambiguity around ECA LNG or transaction timing would outweigh a modest EPS beat.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stage.zacks.com/stock/research/SRE/company-reports?icid=SITE_SECTION-SUB_SECTION-quote_nav_tracking-zcom-left_subnav_quote_navbar-company_reports&amp;utm_source=openai" TargetMode="External" /><Relationship Type="http://schemas.openxmlformats.org/officeDocument/2006/relationships/hyperlink" Id="rId14" Target="https://www.oncor.com/content/oncorwww/wire/en/home/newsroom/oncor-reports-first-quarter-2026-results.html" TargetMode="External" /><Relationship Type="http://schemas.openxmlformats.org/officeDocument/2006/relationships/hyperlink" Id="rId24" Target="https://www.sec.gov/Archives/edgar/data/86521/000103220826000037/sempra-20260615.htm?utm_source=openai" TargetMode="External" /><Relationship Type="http://schemas.openxmlformats.org/officeDocument/2006/relationships/hyperlink" Id="rId17" Target="https://www.sempra.com/newsroom/press-releases/sempra-announces-new-growth-opportunities-texas?page=17" TargetMode="External" /><Relationship Type="http://schemas.openxmlformats.org/officeDocument/2006/relationships/hyperlink" Id="rId20" Target="https://www.sempra.com/newsroom/press-releases/sempra-infrastructure-advances-key-priorities" TargetMode="External" /><Relationship Type="http://schemas.openxmlformats.org/officeDocument/2006/relationships/hyperlink" Id="rId9" Target="https://www.sempra.com/newsroom/press-releases/sempra-report-second-quarter-2026-earnings-august-6" TargetMode="External" /><Relationship Type="http://schemas.openxmlformats.org/officeDocument/2006/relationships/hyperlink" Id="rId12" Target="https://www.sempra.com/newsroom/press-releases/sempra-reports-first-quarter-2026-resul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stage.zacks.com/stock/research/SRE/company-reports?icid=SITE_SECTION-SUB_SECTION-quote_nav_tracking-zcom-left_subnav_quote_navbar-company_reports&amp;utm_source=openai" TargetMode="External" /><Relationship Type="http://schemas.openxmlformats.org/officeDocument/2006/relationships/hyperlink" Id="rId14" Target="https://www.oncor.com/content/oncorwww/wire/en/home/newsroom/oncor-reports-first-quarter-2026-results.html" TargetMode="External" /><Relationship Type="http://schemas.openxmlformats.org/officeDocument/2006/relationships/hyperlink" Id="rId24" Target="https://www.sec.gov/Archives/edgar/data/86521/000103220826000037/sempra-20260615.htm?utm_source=openai" TargetMode="External" /><Relationship Type="http://schemas.openxmlformats.org/officeDocument/2006/relationships/hyperlink" Id="rId17" Target="https://www.sempra.com/newsroom/press-releases/sempra-announces-new-growth-opportunities-texas?page=17" TargetMode="External" /><Relationship Type="http://schemas.openxmlformats.org/officeDocument/2006/relationships/hyperlink" Id="rId20" Target="https://www.sempra.com/newsroom/press-releases/sempra-infrastructure-advances-key-priorities" TargetMode="External" /><Relationship Type="http://schemas.openxmlformats.org/officeDocument/2006/relationships/hyperlink" Id="rId9" Target="https://www.sempra.com/newsroom/press-releases/sempra-report-second-quarter-2026-earnings-august-6" TargetMode="External" /><Relationship Type="http://schemas.openxmlformats.org/officeDocument/2006/relationships/hyperlink" Id="rId12" Target="https://www.sempra.com/newsroom/press-releases/sempra-reports-first-quarter-2026-resul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2026-08-06T00:49:26Z</dcterms:created>
  <dcterms:modified xsi:type="dcterms:W3CDTF">2026-08-06T00:49:26Z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