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re-earnings-predictions--2026-08-06"/>
    <w:p>
      <w:pPr>
        <w:pStyle w:val="Heading1"/>
      </w:pPr>
      <w:r>
        <w:t xml:space="preserve">SRE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SRE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~$1.04 vs. cons $1.01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SRE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~$3.27B vs. cons $3.20B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SRE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Sempra Texas Utilities earnings attributable to common shares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~$255M vs. cons $240M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SRE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 adjusted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4.80</m:t>
              </m:r>
              <m:r>
                <m:rPr>
                  <m:sty m:val="p"/>
                </m:rPr>
                <m:t>−</m:t>
              </m:r>
            </m:oMath>
            <w:r>
              <w:t xml:space="preserve">5.30 (midpoint $5.05) vs. cons $5.07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SRE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2026-2030 capital plan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~$65.0B vs. cons $65.0B (2026-2030)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SRE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SI Partners cash proceeds at closing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~$4.65B vs. cons $4.65B (3Q26)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SRE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Texas incremental capital opportunity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~$11.0B vs. cons $10.0B (2026-2030)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SRE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SRE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+3.5% (FOLLOW-THROUGH)</w:t>
            </w:r>
          </w:p>
        </w:tc>
        <w:tc>
          <w:tcPr/>
          <w:p>
            <w:pPr>
              <w:pStyle w:val="Compact"/>
            </w:pPr>
            <w:r>
              <w:t xml:space="preserve">A ~$1.04 vs. $1.01 EPS beat alongside an unchanged FY26 midpoint of $5.05 vs.</w:t>
            </w:r>
            <w:r>
              <w:t xml:space="preserve"> </w:t>
            </w:r>
            <m:oMath>
              <m:r>
                <m:t>5.07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s</m:t>
              </m:r>
              <m:r>
                <m:t>h</m:t>
              </m:r>
              <m:r>
                <m:t>o</m:t>
              </m:r>
              <m:r>
                <m:t>u</m:t>
              </m:r>
              <m:r>
                <m:t>l</m:t>
              </m:r>
              <m:r>
                <m:t>d</m:t>
              </m:r>
              <m:r>
                <m:t>b</m:t>
              </m:r>
              <m:r>
                <m:t>e</m:t>
              </m:r>
              <m:r>
                <m:t>t</m:t>
              </m:r>
              <m:r>
                <m:t>r</m:t>
              </m:r>
              <m:r>
                <m:t>e</m:t>
              </m:r>
              <m:r>
                <m:t>a</m:t>
              </m:r>
              <m:r>
                <m:t>t</m:t>
              </m:r>
              <m:r>
                <m:t>e</m:t>
              </m:r>
              <m:r>
                <m:t>d</m:t>
              </m:r>
              <m:r>
                <m:t>a</m:t>
              </m:r>
              <m:r>
                <m:t>s</m:t>
              </m:r>
              <m:r>
                <m:t>q</m:t>
              </m:r>
              <m:r>
                <m:t>u</m:t>
              </m:r>
              <m:r>
                <m:t>a</m:t>
              </m:r>
              <m:r>
                <m:t>l</m:t>
              </m:r>
              <m:r>
                <m:t>i</m:t>
              </m:r>
              <m:r>
                <m:t>t</m:t>
              </m:r>
              <m:r>
                <m:t>y</m:t>
              </m:r>
              <m:r>
                <m:rPr>
                  <m:sty m:val="p"/>
                </m:rPr>
                <m:t>−</m:t>
              </m:r>
              <m:r>
                <m:t>p</m:t>
              </m:r>
              <m:r>
                <m:t>o</m:t>
              </m:r>
              <m:r>
                <m:t>s</m:t>
              </m:r>
              <m:r>
                <m:t>i</m:t>
              </m:r>
              <m:r>
                <m:t>t</m:t>
              </m:r>
              <m:r>
                <m:t>i</m:t>
              </m:r>
              <m:r>
                <m:t>v</m:t>
              </m:r>
              <m:r>
                <m:t>e</m:t>
              </m:r>
              <m:r>
                <m:t>i</m:t>
              </m:r>
              <m:r>
                <m:t>f</m:t>
              </m:r>
              <m:r>
                <m:t>T</m:t>
              </m:r>
              <m:r>
                <m:t>e</m:t>
              </m:r>
              <m:r>
                <m:t>x</m:t>
              </m:r>
              <m:r>
                <m:t>a</m:t>
              </m:r>
              <m:r>
                <m:t>s</m:t>
              </m:r>
              <m:r>
                <m:t>u</m:t>
              </m:r>
              <m:r>
                <m:t>p</m:t>
              </m:r>
              <m:r>
                <m:t>s</m:t>
              </m:r>
              <m:r>
                <m:t>i</m:t>
              </m:r>
              <m:r>
                <m:t>d</m:t>
              </m:r>
              <m:r>
                <m:t>e</m:t>
              </m:r>
              <m:r>
                <m:t>r</m:t>
              </m:r>
              <m:r>
                <m:t>i</m:t>
              </m:r>
              <m:r>
                <m:t>s</m:t>
              </m:r>
              <m:r>
                <m:t>e</m:t>
              </m:r>
              <m:r>
                <m:t>s</m:t>
              </m:r>
              <m:r>
                <m:t>t</m:t>
              </m:r>
              <m:r>
                <m:t>o</m:t>
              </m:r>
              <m:r>
                <m:t> </m:t>
              </m:r>
            </m:oMath>
            <w:r>
              <w:t xml:space="preserve">11.0B vs. ~$10.0B; firmer out-period Texas rate-base math and SI Partners deleveraging should support FY27 revisions rather than trigger implicit cuts.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2026-08-06T00:47:51Z</dcterms:created>
  <dcterms:modified xsi:type="dcterms:W3CDTF">2026-08-06T00:47:51Z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