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sempra-nyse-sre--2q26-earnings-preview"/>
    <w:p>
      <w:pPr>
        <w:pStyle w:val="Heading1"/>
      </w:pPr>
      <w:r>
        <w:t xml:space="preserve">Sempra (NYSE: SRE)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August 6,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is therefore a pre-release preview for Sempra’s</w:t>
      </w:r>
      <w:r>
        <w:t xml:space="preserve"> </w:t>
      </w:r>
      <w:r>
        <w:rPr>
          <w:b/>
          <w:bCs/>
        </w:rPr>
        <w:t xml:space="preserve">2Q26 earnings call on August 6, 2026</w:t>
      </w:r>
      <w:r>
        <w:t xml:space="preserve">.</w:t>
      </w:r>
    </w:p>
    <w:bookmarkStart w:id="9" w:name="Xea9b7a6ec941cc404dc8aed1b939c1d0809cb50"/>
    <w:p>
      <w:pPr>
        <w:pStyle w:val="Heading2"/>
      </w:pPr>
      <w:r>
        <w:t xml:space="preserve">Investment view: this is a catalyst on execution, not just quarterly EPS</w:t>
      </w:r>
    </w:p>
    <w:p>
      <w:pPr>
        <w:pStyle w:val="FirstParagraph"/>
      </w:pPr>
      <w:r>
        <w:t xml:space="preserve">Sempra enters 2Q with its core utility-growth thesis intact, but the market is looking for evidence that several large strategic and regulatory milestones are moving from</w:t>
      </w:r>
      <w:r>
        <w:t xml:space="preserve"> </w:t>
      </w:r>
      <w:r>
        <w:rPr>
          <w:i/>
          <w:iCs/>
        </w:rPr>
        <w:t xml:space="preserve">promised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delivered</w:t>
      </w:r>
      <w:r>
        <w:t xml:space="preserve">. The most important items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Closing timing and economics of the Sempra Infrastructure Partners (SI Partners) transaction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Oncor’s Texas regulatory and capital-spending momentum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ECA LNG Phase 1 commissioning / substantial-completion progress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Confirmation of 2026 adjusted EPS guidance of</w:t>
      </w:r>
      <w:r>
        <w:rPr>
          <w:b/>
          <w:bCs/>
        </w:rPr>
        <w:t xml:space="preserve"> </w:t>
      </w:r>
      <m:oMath>
        <m:r>
          <m:t>4.80</m:t>
        </m:r>
        <m:r>
          <m:rPr>
            <m:sty m:val="p"/>
          </m:rPr>
          <m:t>–</m:t>
        </m:r>
      </m:oMath>
      <w:r>
        <w:rPr>
          <w:b/>
          <w:bCs/>
        </w:rPr>
        <w:t xml:space="preserve">5.30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California regulatory recovery, wildfire exposure, and balance-sheet trajectory</w:t>
      </w:r>
    </w:p>
    <w:p>
      <w:pPr>
        <w:pStyle w:val="FirstParagraph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$84.68 on August 5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7.5% since 1Q earnings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11.2% from its July 8 high</w:t>
      </w:r>
      <w:r>
        <w:t xml:space="preserve">, suggesting the market is asking for tangible derisking rather than simply a modest earnings beat.</w:t>
      </w:r>
    </w:p>
    <w:p>
      <w:r>
        <w:pict>
          <v:rect style="width:0;height:1.5pt" o:hralign="center" o:hrstd="t" o:hr="t"/>
        </w:pict>
      </w:r>
    </w:p>
    <w:bookmarkEnd w:id="9"/>
    <w:bookmarkStart w:id="14" w:name="what-matters-most"/>
    <w:p>
      <w:pPr>
        <w:pStyle w:val="Heading2"/>
      </w:pPr>
      <w:r>
        <w:t xml:space="preserve">What matters most</w:t>
      </w:r>
    </w:p>
    <w:bookmarkStart w:id="10" w:name="X1b890e6fca291a27130b812e8e1af73bf63db80"/>
    <w:p>
      <w:pPr>
        <w:pStyle w:val="Heading3"/>
      </w:pPr>
      <w:r>
        <w:t xml:space="preserve">1. SI Partners sale: the most important near-term corporate catalyst</w:t>
      </w:r>
    </w:p>
    <w:p>
      <w:pPr>
        <w:pStyle w:val="FirstParagraph"/>
      </w:pPr>
      <w:r>
        <w:t xml:space="preserve">Sempra agreed to sell a 45% interest in SI Partners to KKR-affiliated buyers for</w:t>
      </w:r>
      <w:r>
        <w:t xml:space="preserve"> </w:t>
      </w:r>
      <w:r>
        <w:rPr>
          <w:b/>
          <w:bCs/>
        </w:rPr>
        <w:t xml:space="preserve">$9.99 billion</w:t>
      </w:r>
      <w:r>
        <w:t xml:space="preserve">, subject to adjustments. The transaction is central to the company’s planned simplification into a more utility-focused business and is expected to result in Sempra retaining a 25% stake while deconsolidating SI Partners’ debt.</w:t>
      </w:r>
    </w:p>
    <w:p>
      <w:pPr>
        <w:pStyle w:val="BodyText"/>
      </w:pPr>
      <w:r>
        <w:t xml:space="preserve">The reported consideration includes: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$4.65 billion cash at closing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$4.14 billion plus accrued interest</w:t>
      </w:r>
      <w:r>
        <w:t xml:space="preserve">, due December 31, 2027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$1.2 billion plus accrued interest</w:t>
      </w:r>
      <w:r>
        <w:t xml:space="preserve"> </w:t>
      </w:r>
      <w:r>
        <w:t xml:space="preserve">in longer-dated promissory notes</w:t>
      </w:r>
    </w:p>
    <w:p>
      <w:pPr>
        <w:pStyle w:val="FirstParagraph"/>
      </w:pPr>
      <w:r>
        <w:t xml:space="preserve">The gross headline value is therefore not synonymous with immediate cash proceeds. In addition, purchase-price adjustments, KKR transaction fees, development credits, capital contributions, and project-related items can affect ultimate proceeds and timing.</w:t>
      </w:r>
    </w:p>
    <w:p>
      <w:pPr>
        <w:pStyle w:val="BodyText"/>
      </w:pPr>
      <w:r>
        <w:rPr>
          <w:b/>
          <w:bCs/>
        </w:rPr>
        <w:t xml:space="preserve">What investors need to hear:</w:t>
      </w:r>
    </w:p>
    <w:p>
      <w:pPr>
        <w:pStyle w:val="Compact"/>
        <w:numPr>
          <w:ilvl w:val="0"/>
          <w:numId w:val="1003"/>
        </w:numPr>
      </w:pPr>
      <w:r>
        <w:t xml:space="preserve">Is closing still expected in</w:t>
      </w:r>
      <w:r>
        <w:t xml:space="preserve"> </w:t>
      </w:r>
      <w:r>
        <w:rPr>
          <w:b/>
          <w:bCs/>
        </w:rPr>
        <w:t xml:space="preserve">3Q26</w:t>
      </w:r>
      <w:r>
        <w:t xml:space="preserve">, or has it become imminent?</w:t>
      </w:r>
    </w:p>
    <w:p>
      <w:pPr>
        <w:pStyle w:val="Compact"/>
        <w:numPr>
          <w:ilvl w:val="0"/>
          <w:numId w:val="1003"/>
        </w:numPr>
      </w:pPr>
      <w:r>
        <w:t xml:space="preserve">Have the remaining Cameron-partner, lender/export-credit-agency, and other third-party consents been obtained?</w:t>
      </w:r>
    </w:p>
    <w:p>
      <w:pPr>
        <w:pStyle w:val="Compact"/>
        <w:numPr>
          <w:ilvl w:val="0"/>
          <w:numId w:val="1003"/>
        </w:numPr>
      </w:pPr>
      <w:r>
        <w:t xml:space="preserve">What are expected</w:t>
      </w:r>
      <w:r>
        <w:t xml:space="preserve"> </w:t>
      </w:r>
      <w:r>
        <w:rPr>
          <w:i/>
          <w:iCs/>
        </w:rPr>
        <w:t xml:space="preserve">net</w:t>
      </w:r>
      <w:r>
        <w:t xml:space="preserve"> </w:t>
      </w:r>
      <w:r>
        <w:t xml:space="preserve">cash proceeds at closing?</w:t>
      </w:r>
    </w:p>
    <w:p>
      <w:pPr>
        <w:pStyle w:val="Compact"/>
        <w:numPr>
          <w:ilvl w:val="0"/>
          <w:numId w:val="1003"/>
        </w:numPr>
      </w:pPr>
      <w:r>
        <w:t xml:space="preserve">How much parent debt repayment is expected immediately after close?</w:t>
      </w:r>
    </w:p>
    <w:p>
      <w:pPr>
        <w:pStyle w:val="Compact"/>
        <w:numPr>
          <w:ilvl w:val="0"/>
          <w:numId w:val="1003"/>
        </w:numPr>
      </w:pPr>
      <w:r>
        <w:t xml:space="preserve">What is the expected pro forma credit-metric improvement and timetable for rating-agency action?</w:t>
      </w:r>
    </w:p>
    <w:p>
      <w:pPr>
        <w:pStyle w:val="FirstParagraph"/>
      </w:pPr>
      <w:r>
        <w:t xml:space="preserve">Management previously framed rating improvement as more likely</w:t>
      </w:r>
      <w:r>
        <w:t xml:space="preserve"> </w:t>
      </w:r>
      <w:r>
        <w:rPr>
          <w:b/>
          <w:bCs/>
        </w:rPr>
        <w:t xml:space="preserve">after closing plus roughly six months</w:t>
      </w:r>
      <w:r>
        <w:t xml:space="preserve">, rather than immediate. That makes a detailed capital-allocation update more valuable than a simple reaffirmation of timing.</w:t>
      </w:r>
    </w:p>
    <w:p>
      <w:pPr>
        <w:pStyle w:val="BodyText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A clean close should reduce consolidated leverage and earnings volatility, sharpen the utility narrative, and support funding for Texas capital deployment. A delay would prolong the balance-sheet overhang.</w:t>
      </w:r>
    </w:p>
    <w:p>
      <w:r>
        <w:pict>
          <v:rect style="width:0;height:1.5pt" o:hralign="center" o:hrstd="t" o:hr="t"/>
        </w:pict>
      </w:r>
    </w:p>
    <w:bookmarkEnd w:id="10"/>
    <w:bookmarkStart w:id="11" w:name="Xb6d34b825cd1e2cae807d6d628900d9bf22b95d"/>
    <w:p>
      <w:pPr>
        <w:pStyle w:val="Heading3"/>
      </w:pPr>
      <w:r>
        <w:t xml:space="preserve">2. Texas / Oncor: the key upside engine</w:t>
      </w:r>
    </w:p>
    <w:p>
      <w:pPr>
        <w:pStyle w:val="FirstParagraph"/>
      </w:pPr>
      <w:r>
        <w:t xml:space="preserve">Oncor is now the centerpiece of Sempra’s long-term growth plan. In 1Q, Oncor received a favorable Texas base-rate settlement with: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$6.97 billion annual revenue requirement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9.75% authorized ROE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43.5% authorized equity ratio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4.94% authorized cost of debt</w:t>
      </w:r>
    </w:p>
    <w:p>
      <w:pPr>
        <w:pStyle w:val="FirstParagraph"/>
      </w:pPr>
      <w:r>
        <w:t xml:space="preserve">The order became effective June 1, with a surcharge mechanism allowing recovery of the January 1–June 1 gap during 2026. Consequently, 2Q should be the first period that more visibly captures the favorable financial effects of the rate-case outcome.</w:t>
      </w:r>
    </w:p>
    <w:p>
      <w:pPr>
        <w:pStyle w:val="BodyText"/>
      </w:pPr>
      <w:r>
        <w:t xml:space="preserve">The next major event is the company’s first Unified Tracker Mechanism (UTM) filing, which seeks rate inclusion for roughly</w:t>
      </w:r>
      <w:r>
        <w:t xml:space="preserve"> </w:t>
      </w:r>
      <w:r>
        <w:rPr>
          <w:b/>
          <w:bCs/>
        </w:rPr>
        <w:t xml:space="preserve">$4.4 billion</w:t>
      </w:r>
      <w:r>
        <w:t xml:space="preserve"> </w:t>
      </w:r>
      <w:r>
        <w:t xml:space="preserve">of eligible transmission and distribution investment placed in service during 2025. Management expects an order and updated rates in 2H26.</w:t>
      </w:r>
    </w:p>
    <w:bookmarkEnd w:id="11"/>
    <w:bookmarkStart w:id="12" w:name="what-to-watch-in-the-release-and-call"/>
    <w:p>
      <w:pPr>
        <w:pStyle w:val="Heading3"/>
      </w:pPr>
      <w:r>
        <w:t xml:space="preserve">What to watch in the release and call</w:t>
      </w:r>
    </w:p>
    <w:p>
      <w:pPr>
        <w:pStyle w:val="Compact"/>
        <w:numPr>
          <w:ilvl w:val="0"/>
          <w:numId w:val="1005"/>
        </w:numPr>
      </w:pPr>
      <w:r>
        <w:t xml:space="preserve">The magnitude and accounting timing of the base-rate-case benefit in 2Q.</w:t>
      </w:r>
    </w:p>
    <w:p>
      <w:pPr>
        <w:pStyle w:val="Compact"/>
        <w:numPr>
          <w:ilvl w:val="0"/>
          <w:numId w:val="1005"/>
        </w:numPr>
      </w:pPr>
      <w:r>
        <w:t xml:space="preserve">Any change in the expected timing for UTM interim or final rates.</w:t>
      </w:r>
    </w:p>
    <w:p>
      <w:pPr>
        <w:pStyle w:val="Compact"/>
        <w:numPr>
          <w:ilvl w:val="0"/>
          <w:numId w:val="1005"/>
        </w:numPr>
      </w:pPr>
      <w:r>
        <w:t xml:space="preserve">Updates on the roughly</w:t>
      </w:r>
      <w:r>
        <w:t xml:space="preserve"> </w:t>
      </w:r>
      <w:r>
        <w:rPr>
          <w:b/>
          <w:bCs/>
        </w:rPr>
        <w:t xml:space="preserve">$10 billion</w:t>
      </w:r>
      <w:r>
        <w:t xml:space="preserve"> </w:t>
      </w:r>
      <w:r>
        <w:t xml:space="preserve">incremental Texas capital opportunity.</w:t>
      </w:r>
    </w:p>
    <w:p>
      <w:pPr>
        <w:pStyle w:val="Compact"/>
        <w:numPr>
          <w:ilvl w:val="0"/>
          <w:numId w:val="1005"/>
        </w:numPr>
      </w:pPr>
      <w:r>
        <w:t xml:space="preserve">Whether recently identified ERCOT transmission projects are becoming more firmly embedded in the capital plan.</w:t>
      </w:r>
    </w:p>
    <w:p>
      <w:pPr>
        <w:pStyle w:val="Compact"/>
        <w:numPr>
          <w:ilvl w:val="0"/>
          <w:numId w:val="1005"/>
        </w:numPr>
      </w:pPr>
      <w:r>
        <w:t xml:space="preserve">Execution indicators: labor availability, equipment slots, supply-chain costs, rights-of-way, and construction throughput.</w:t>
      </w:r>
    </w:p>
    <w:p>
      <w:pPr>
        <w:pStyle w:val="FirstParagraph"/>
      </w:pPr>
      <w:r>
        <w:t xml:space="preserve">Oncor’s long-term opportunity is supported by robust Texas population and load growth, including data-center-related demand. But investors should distinguish between: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base plan</w:t>
      </w:r>
      <w:r>
        <w:t xml:space="preserve">, which management describes as solid even without incremental large-load conversion; and</w:t>
      </w:r>
    </w:p>
    <w:p>
      <w:pPr>
        <w:pStyle w:val="Compact"/>
        <w:numPr>
          <w:ilvl w:val="0"/>
          <w:numId w:val="100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upside opportunity</w:t>
      </w:r>
      <w:r>
        <w:t xml:space="preserve">, where timing, customer commitment, ERCOT process, transmission approvals, and generation availability remain more uncertain.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A stronger-than-expected update on firmed capital opportunities, UTM progress, and earned-ROE trajectory would be the most constructive outcome of the quarter.</w:t>
      </w:r>
    </w:p>
    <w:p>
      <w:r>
        <w:pict>
          <v:rect style="width:0;height:1.5pt" o:hralign="center" o:hrstd="t" o:hr="t"/>
        </w:pict>
      </w:r>
    </w:p>
    <w:bookmarkEnd w:id="12"/>
    <w:bookmarkStart w:id="13" w:name="Xf9a763fc16f4d93e5f0c0151c2f79bbe2499c3b"/>
    <w:p>
      <w:pPr>
        <w:pStyle w:val="Heading3"/>
      </w:pPr>
      <w:r>
        <w:t xml:space="preserve">3. ECA LNG Phase 1: does commissioning turn into commercial operations?</w:t>
      </w:r>
    </w:p>
    <w:p>
      <w:pPr>
        <w:pStyle w:val="FirstParagraph"/>
      </w:pPr>
      <w:r>
        <w:t xml:space="preserve">ECA LNG Phase 1 has been a major execution focus. At the May call, management said the project had introduced feed gas and expected:</w:t>
      </w:r>
    </w:p>
    <w:p>
      <w:pPr>
        <w:pStyle w:val="Compact"/>
        <w:numPr>
          <w:ilvl w:val="0"/>
          <w:numId w:val="1007"/>
        </w:numPr>
      </w:pPr>
      <w:r>
        <w:t xml:space="preserve">first LNG production during the following month,</w:t>
      </w:r>
    </w:p>
    <w:p>
      <w:pPr>
        <w:pStyle w:val="Compact"/>
        <w:numPr>
          <w:ilvl w:val="0"/>
          <w:numId w:val="1007"/>
        </w:numPr>
      </w:pPr>
      <w:r>
        <w:t xml:space="preserve">substantial completion in summer 2026,</w:t>
      </w:r>
    </w:p>
    <w:p>
      <w:pPr>
        <w:pStyle w:val="Compact"/>
        <w:numPr>
          <w:ilvl w:val="0"/>
          <w:numId w:val="1007"/>
        </w:numPr>
      </w:pPr>
      <w:r>
        <w:t xml:space="preserve">recognition of LNG revenues after substantial completion, and</w:t>
      </w:r>
    </w:p>
    <w:p>
      <w:pPr>
        <w:pStyle w:val="Compact"/>
        <w:numPr>
          <w:ilvl w:val="0"/>
          <w:numId w:val="1007"/>
        </w:numPr>
      </w:pPr>
      <w:r>
        <w:t xml:space="preserve">full commercial operations shortly thereafter.</w:t>
      </w:r>
    </w:p>
    <w:p>
      <w:pPr>
        <w:pStyle w:val="FirstParagraph"/>
      </w:pPr>
      <w:r>
        <w:t xml:space="preserve">This quarter should provide the clearest update yet. Investors should focus less on whether a commissioning cargo occurred and more on whether the project has achieved—or is on a firm path to achieve—</w:t>
      </w:r>
      <w:r>
        <w:rPr>
          <w:b/>
          <w:bCs/>
        </w:rPr>
        <w:t xml:space="preserve">substantial completion and contracted commercial operations</w:t>
      </w:r>
      <w:r>
        <w:t xml:space="preserve">.</w:t>
      </w:r>
    </w:p>
    <w:p>
      <w:pPr>
        <w:pStyle w:val="BodyText"/>
      </w:pPr>
      <w:r>
        <w:t xml:space="preserve">Key questions:</w:t>
      </w:r>
    </w:p>
    <w:p>
      <w:pPr>
        <w:pStyle w:val="Compact"/>
        <w:numPr>
          <w:ilvl w:val="0"/>
          <w:numId w:val="1008"/>
        </w:numPr>
      </w:pPr>
      <w:r>
        <w:t xml:space="preserve">Has ECA achieved substantial completion?</w:t>
      </w:r>
    </w:p>
    <w:p>
      <w:pPr>
        <w:pStyle w:val="Compact"/>
        <w:numPr>
          <w:ilvl w:val="0"/>
          <w:numId w:val="1008"/>
        </w:numPr>
      </w:pPr>
      <w:r>
        <w:t xml:space="preserve">Have performance tests proceeded as expected?</w:t>
      </w:r>
    </w:p>
    <w:p>
      <w:pPr>
        <w:pStyle w:val="Compact"/>
        <w:numPr>
          <w:ilvl w:val="0"/>
          <w:numId w:val="1008"/>
        </w:numPr>
      </w:pPr>
      <w:r>
        <w:t xml:space="preserve">What is the revised commercial-operations timetable, if any?</w:t>
      </w:r>
    </w:p>
    <w:p>
      <w:pPr>
        <w:pStyle w:val="Compact"/>
        <w:numPr>
          <w:ilvl w:val="0"/>
          <w:numId w:val="1008"/>
        </w:numPr>
      </w:pPr>
      <w:r>
        <w:t xml:space="preserve">Are there remaining customer, permitting, land, construction, or cost issues?</w:t>
      </w:r>
    </w:p>
    <w:p>
      <w:pPr>
        <w:pStyle w:val="Compact"/>
        <w:numPr>
          <w:ilvl w:val="0"/>
          <w:numId w:val="1008"/>
        </w:numPr>
      </w:pPr>
      <w:r>
        <w:t xml:space="preserve">Does management expect any residual funding obligation or impact on SI Partners transaction economics?</w:t>
      </w:r>
    </w:p>
    <w:p>
      <w:pPr>
        <w:pStyle w:val="FirstParagraph"/>
      </w:pPr>
      <w:r>
        <w:t xml:space="preserve">The project was originally expected to cost about</w:t>
      </w:r>
      <w:r>
        <w:t xml:space="preserve"> </w:t>
      </w:r>
      <w:r>
        <w:rPr>
          <w:b/>
          <w:bCs/>
        </w:rPr>
        <w:t xml:space="preserve">$2.5 billion</w:t>
      </w:r>
      <w:r>
        <w:t xml:space="preserve">, including capitalized interest and contingency. It also carries commercial sensitivity: customers have termination rights if commercial operations do not commence by specified dates and conditions, although no notices of termination had been received as of May 7.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Xb4059105464789f574001ab27d061a09c929c3f"/>
    <w:p>
      <w:pPr>
        <w:pStyle w:val="Heading2"/>
      </w:pPr>
      <w:r>
        <w:t xml:space="preserve">Earnings framework: 2Q seasonality and comparables</w:t>
      </w:r>
    </w:p>
    <w:p>
      <w:pPr>
        <w:pStyle w:val="FirstParagraph"/>
      </w:pPr>
      <w:r>
        <w:t xml:space="preserve">Sempra’s 2Q earnings are typically seasonally lower than 1Q because California utility demand is less winter-weighted. In</w:t>
      </w:r>
      <w:r>
        <w:t xml:space="preserve"> </w:t>
      </w:r>
      <w:r>
        <w:rPr>
          <w:b/>
          <w:bCs/>
        </w:rPr>
        <w:t xml:space="preserve">2Q25</w:t>
      </w:r>
      <w:r>
        <w:t xml:space="preserve">, Sempra reported: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$0.71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$0.89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earnings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$583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California earnings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$259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Texas Utilities earnings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$208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Sempra Infrastructure earnings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$72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Parent &amp; other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($78 million)</w:t>
            </w:r>
          </w:p>
        </w:tc>
      </w:tr>
    </w:tbl>
    <w:p>
      <w:pPr>
        <w:pStyle w:val="BodyText"/>
      </w:pPr>
      <w:r>
        <w:t xml:space="preserve">The 2Q25 result included meaningful non-core volatility, including Mexican foreign-currency/inflation effects, regulatory disallowances, derivative marks, and held-for-sale tax items. That history reinforces the importance of adjusted EPS and segment detail over GAAP EPS alone.</w:t>
      </w:r>
    </w:p>
    <w:bookmarkStart w:id="15" w:name="potential-2q26-earnings-tailwinds"/>
    <w:p>
      <w:pPr>
        <w:pStyle w:val="Heading3"/>
      </w:pPr>
      <w:r>
        <w:t xml:space="preserve">Potential 2Q26 earnings tailwinds</w:t>
      </w:r>
    </w:p>
    <w:p>
      <w:pPr>
        <w:pStyle w:val="Compact"/>
        <w:numPr>
          <w:ilvl w:val="0"/>
          <w:numId w:val="1009"/>
        </w:numPr>
      </w:pPr>
      <w:r>
        <w:t xml:space="preserve">Oncor’s base-rate outcome, including recognition of rate relief/surcharge-related effects.</w:t>
      </w:r>
    </w:p>
    <w:p>
      <w:pPr>
        <w:pStyle w:val="Compact"/>
        <w:numPr>
          <w:ilvl w:val="0"/>
          <w:numId w:val="1009"/>
        </w:numPr>
      </w:pPr>
      <w:r>
        <w:t xml:space="preserve">Ongoing Texas customer growth and investment-rate-base growth.</w:t>
      </w:r>
    </w:p>
    <w:p>
      <w:pPr>
        <w:pStyle w:val="Compact"/>
        <w:numPr>
          <w:ilvl w:val="0"/>
          <w:numId w:val="1009"/>
        </w:numPr>
      </w:pPr>
      <w:r>
        <w:t xml:space="preserve">Higher California authorized base revenues and recovery on approved capital investments.</w:t>
      </w:r>
    </w:p>
    <w:p>
      <w:pPr>
        <w:pStyle w:val="Compact"/>
        <w:numPr>
          <w:ilvl w:val="0"/>
          <w:numId w:val="1009"/>
        </w:numPr>
      </w:pPr>
      <w:r>
        <w:t xml:space="preserve">Potential retroactive benefit if SDG&amp;E’s proposed FERC TO6 settlement advances.</w:t>
      </w:r>
    </w:p>
    <w:p>
      <w:pPr>
        <w:pStyle w:val="Compact"/>
        <w:numPr>
          <w:ilvl w:val="0"/>
          <w:numId w:val="1009"/>
        </w:numPr>
      </w:pPr>
      <w:r>
        <w:t xml:space="preserve">Reduced depreciation at businesses classified as held for sale.</w:t>
      </w:r>
    </w:p>
    <w:p>
      <w:pPr>
        <w:pStyle w:val="Compact"/>
        <w:numPr>
          <w:ilvl w:val="0"/>
          <w:numId w:val="1009"/>
        </w:numPr>
      </w:pPr>
      <w:r>
        <w:t xml:space="preserve">A more stable tax/derivative outcome versus prior periods.</w:t>
      </w:r>
    </w:p>
    <w:bookmarkEnd w:id="15"/>
    <w:bookmarkStart w:id="16" w:name="potential-offsets"/>
    <w:p>
      <w:pPr>
        <w:pStyle w:val="Heading3"/>
      </w:pPr>
      <w:r>
        <w:t xml:space="preserve">Potential offsets</w:t>
      </w:r>
    </w:p>
    <w:p>
      <w:pPr>
        <w:pStyle w:val="Compact"/>
        <w:numPr>
          <w:ilvl w:val="0"/>
          <w:numId w:val="1010"/>
        </w:numPr>
      </w:pPr>
      <w:r>
        <w:t xml:space="preserve">Parent-level interest expense and financing costs.</w:t>
      </w:r>
    </w:p>
    <w:p>
      <w:pPr>
        <w:pStyle w:val="Compact"/>
        <w:numPr>
          <w:ilvl w:val="0"/>
          <w:numId w:val="1010"/>
        </w:numPr>
      </w:pPr>
      <w:r>
        <w:t xml:space="preserve">California affordability pressure, regulatory disallowance risk, and interest burden.</w:t>
      </w:r>
    </w:p>
    <w:p>
      <w:pPr>
        <w:pStyle w:val="Compact"/>
        <w:numPr>
          <w:ilvl w:val="0"/>
          <w:numId w:val="1010"/>
        </w:numPr>
      </w:pPr>
      <w:r>
        <w:t xml:space="preserve">Infrastructure development expense and commissioning costs.</w:t>
      </w:r>
    </w:p>
    <w:p>
      <w:pPr>
        <w:pStyle w:val="Compact"/>
        <w:numPr>
          <w:ilvl w:val="0"/>
          <w:numId w:val="1010"/>
        </w:numPr>
      </w:pPr>
      <w:r>
        <w:t xml:space="preserve">Commodity-derivative, foreign-exchange, and Mexican-inflation volatility.</w:t>
      </w:r>
    </w:p>
    <w:p>
      <w:pPr>
        <w:pStyle w:val="Compact"/>
        <w:numPr>
          <w:ilvl w:val="0"/>
          <w:numId w:val="1010"/>
        </w:numPr>
      </w:pPr>
      <w:r>
        <w:t xml:space="preserve">Any delay or cost update tied to ECA LNG or the SI Partners closing.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b16bf1af17e8d92fb792e8efe8b3d6a2306ad4a"/>
    <w:p>
      <w:pPr>
        <w:pStyle w:val="Heading2"/>
      </w:pPr>
      <w:r>
        <w:t xml:space="preserve">Guidance: reaffirmation should be the base case, but the quality of the reaffirmation matters</w:t>
      </w:r>
    </w:p>
    <w:p>
      <w:pPr>
        <w:pStyle w:val="FirstParagraph"/>
      </w:pPr>
      <w:r>
        <w:t xml:space="preserve">Sempra reaffirmed: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2026 adjusted EPS guidance:</w:t>
      </w:r>
      <w:r>
        <w:t xml:space="preserve"> </w:t>
      </w:r>
      <m:oMath>
        <m:r>
          <m:t>4.80</m:t>
        </m:r>
        <m:r>
          <m:rPr>
            <m:sty m:val="p"/>
          </m:rPr>
          <m:t>–</m:t>
        </m:r>
      </m:oMath>
      <w:r>
        <w:rPr>
          <w:b/>
          <w:bCs/>
        </w:rPr>
        <w:t xml:space="preserve">5.30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2027 adjusted EPS guidance:</w:t>
      </w:r>
      <w:r>
        <w:t xml:space="preserve"> </w:t>
      </w:r>
      <m:oMath>
        <m:r>
          <m:t>5.10</m:t>
        </m:r>
        <m:r>
          <m:rPr>
            <m:sty m:val="p"/>
          </m:rPr>
          <m:t>–</m:t>
        </m:r>
      </m:oMath>
      <w:r>
        <w:rPr>
          <w:b/>
          <w:bCs/>
        </w:rPr>
        <w:t xml:space="preserve">5.70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Long-term EPS growth target:</w:t>
      </w:r>
      <w:r>
        <w:t xml:space="preserve"> </w:t>
      </w:r>
      <w:r>
        <w:rPr>
          <w:b/>
          <w:bCs/>
        </w:rPr>
        <w:t xml:space="preserve">7%–9%</w:t>
      </w:r>
    </w:p>
    <w:p>
      <w:pPr>
        <w:pStyle w:val="FirstParagraph"/>
      </w:pPr>
      <w:r>
        <w:t xml:space="preserve">After posting</w:t>
      </w:r>
      <w:r>
        <w:t xml:space="preserve"> </w:t>
      </w:r>
      <w:r>
        <w:rPr>
          <w:b/>
          <w:bCs/>
        </w:rPr>
        <w:t xml:space="preserve">$1.51 of adjusted EPS in 1Q</w:t>
      </w:r>
      <w:r>
        <w:t xml:space="preserve">, the company has a reasonable early-year foundation. But the wide full-year range means the market will likely focus on the confidence level behind the guidance—not merely whether management formally maintains it.</w:t>
      </w:r>
    </w:p>
    <w:p>
      <w:pPr>
        <w:pStyle w:val="BodyText"/>
      </w:pPr>
      <w:r>
        <w:t xml:space="preserve">A higher-quality reaffirmation would include:</w:t>
      </w:r>
    </w:p>
    <w:p>
      <w:pPr>
        <w:pStyle w:val="Compact"/>
        <w:numPr>
          <w:ilvl w:val="0"/>
          <w:numId w:val="1012"/>
        </w:numPr>
      </w:pPr>
      <w:r>
        <w:t xml:space="preserve">visible 2Q Oncor rate-case benefits;</w:t>
      </w:r>
    </w:p>
    <w:p>
      <w:pPr>
        <w:pStyle w:val="Compact"/>
        <w:numPr>
          <w:ilvl w:val="0"/>
          <w:numId w:val="1012"/>
        </w:numPr>
      </w:pPr>
      <w:r>
        <w:t xml:space="preserve">an unchanged or improved Texas capital outlook;</w:t>
      </w:r>
    </w:p>
    <w:p>
      <w:pPr>
        <w:pStyle w:val="Compact"/>
        <w:numPr>
          <w:ilvl w:val="0"/>
          <w:numId w:val="1012"/>
        </w:numPr>
      </w:pPr>
      <w:r>
        <w:t xml:space="preserve">a firm 3Q SI Partners closing timeline;</w:t>
      </w:r>
    </w:p>
    <w:p>
      <w:pPr>
        <w:pStyle w:val="Compact"/>
        <w:numPr>
          <w:ilvl w:val="0"/>
          <w:numId w:val="1012"/>
        </w:numPr>
      </w:pPr>
      <w:r>
        <w:t xml:space="preserve">ECA LNG reaching substantial completion or a credible near-term path to it;</w:t>
      </w:r>
    </w:p>
    <w:p>
      <w:pPr>
        <w:pStyle w:val="Compact"/>
        <w:numPr>
          <w:ilvl w:val="0"/>
          <w:numId w:val="1012"/>
        </w:numPr>
      </w:pPr>
      <w:r>
        <w:t xml:space="preserve">clarity on debt reduction, funding, and credit metrics.</w:t>
      </w:r>
    </w:p>
    <w:p>
      <w:r>
        <w:pict>
          <v:rect style="width:0;height:1.5pt" o:hralign="center" o:hrstd="t" o:hr="t"/>
        </w:pict>
      </w:r>
    </w:p>
    <w:bookmarkEnd w:id="18"/>
    <w:bookmarkStart w:id="20" w:name="X7bbeec6b18631f6d7f898ea69e60c96fb7c4f73"/>
    <w:p>
      <w:pPr>
        <w:pStyle w:val="Heading2"/>
      </w:pPr>
      <w:r>
        <w:t xml:space="preserve">California: still a meaningful risk factor</w:t>
      </w:r>
    </w:p>
    <w:p>
      <w:pPr>
        <w:pStyle w:val="FirstParagraph"/>
      </w:pPr>
      <w:r>
        <w:t xml:space="preserve">Sempra California remains a large earnings contributor but carries the most regulatory and liability complexity.</w:t>
      </w:r>
    </w:p>
    <w:bookmarkStart w:id="19" w:name="items-to-monitor"/>
    <w:p>
      <w:pPr>
        <w:pStyle w:val="Heading3"/>
      </w:pPr>
      <w:r>
        <w:t xml:space="preserve">Items to monitor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SDG&amp;E TO6:</w:t>
      </w:r>
      <w:r>
        <w:t xml:space="preserve"> </w:t>
      </w:r>
      <w:r>
        <w:t xml:space="preserve">The proposed FERC settlement would raise base ROE to</w:t>
      </w:r>
      <w:r>
        <w:t xml:space="preserve"> </w:t>
      </w:r>
      <w:r>
        <w:rPr>
          <w:b/>
          <w:bCs/>
        </w:rPr>
        <w:t xml:space="preserve">10.28%</w:t>
      </w:r>
      <w:r>
        <w:t xml:space="preserve">, use a 54% hypothetical equity ratio, and—if approved—be effective retroactively from June 1, 2025.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CPUC recovery matters:</w:t>
      </w:r>
      <w:r>
        <w:t xml:space="preserve"> </w:t>
      </w:r>
      <w:r>
        <w:t xml:space="preserve">The company expects decisions in 2H26 on significant Track 3 wildfire-mitigation and pipeline-safety recovery requests.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Wildfire fund exposure:</w:t>
      </w:r>
      <w:r>
        <w:t xml:space="preserve"> </w:t>
      </w:r>
      <w:r>
        <w:t xml:space="preserve">The potential reduction or exhaustion of California’s wildfire funding mechanisms remains an important tail risk, even though Sempra has highlighted legislative and policy momentum around a more durable statewide framework.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SoCalGas / LA fires:</w:t>
      </w:r>
      <w:r>
        <w:t xml:space="preserve"> </w:t>
      </w:r>
      <w:r>
        <w:t xml:space="preserve">Litigation, restoration costs, insurance, and regulatory cost-recovery outcomes remain uncertain.</w:t>
      </w:r>
    </w:p>
    <w:p>
      <w:pPr>
        <w:pStyle w:val="FirstParagraph"/>
      </w:pPr>
      <w:r>
        <w:t xml:space="preserve">The upside is that California’s rate base and approved capital program remain supportive. The risk is that affordability and wildfire-related policy considerations can constrain cash recovery or raise the cost of capital.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ee3e19de695fdb058672d2cb289cdf3043ef1ee"/>
    <w:p>
      <w:pPr>
        <w:pStyle w:val="Heading2"/>
      </w:pPr>
      <w:r>
        <w:t xml:space="preserve">Leadership transition: a secondary but relevant call topic</w:t>
      </w:r>
    </w:p>
    <w:p>
      <w:pPr>
        <w:pStyle w:val="FirstParagraph"/>
      </w:pPr>
      <w:r>
        <w:t xml:space="preserve">In July, Sempra appointed</w:t>
      </w:r>
      <w:r>
        <w:t xml:space="preserve"> </w:t>
      </w:r>
      <w:r>
        <w:rPr>
          <w:b/>
          <w:bCs/>
        </w:rPr>
        <w:t xml:space="preserve">Justin Bird</w:t>
      </w:r>
      <w:r>
        <w:t xml:space="preserve"> </w:t>
      </w:r>
      <w:r>
        <w:t xml:space="preserve">to become CFO upon or around the planned SI Partners closing; current CFO</w:t>
      </w:r>
      <w:r>
        <w:t xml:space="preserve"> </w:t>
      </w:r>
      <w:r>
        <w:rPr>
          <w:b/>
          <w:bCs/>
        </w:rPr>
        <w:t xml:space="preserve">Karen Sedgwick</w:t>
      </w:r>
      <w:r>
        <w:t xml:space="preserve"> </w:t>
      </w:r>
      <w:r>
        <w:t xml:space="preserve">is slated to become CEO and president of SoCalGas concurrently.</w:t>
      </w:r>
    </w:p>
    <w:p>
      <w:pPr>
        <w:pStyle w:val="BodyText"/>
      </w:pPr>
      <w:r>
        <w:t xml:space="preserve">This makes the timing of the SI Partners close even more relevant. Investors may want management to clarify:</w:t>
      </w:r>
    </w:p>
    <w:p>
      <w:pPr>
        <w:pStyle w:val="Compact"/>
        <w:numPr>
          <w:ilvl w:val="0"/>
          <w:numId w:val="1014"/>
        </w:numPr>
      </w:pPr>
      <w:r>
        <w:t xml:space="preserve">whether the transition timing remains linked to the transaction close;</w:t>
      </w:r>
    </w:p>
    <w:p>
      <w:pPr>
        <w:pStyle w:val="Compact"/>
        <w:numPr>
          <w:ilvl w:val="0"/>
          <w:numId w:val="1014"/>
        </w:numPr>
      </w:pPr>
      <w:r>
        <w:t xml:space="preserve">the financial-policy priorities under the new CFO;</w:t>
      </w:r>
    </w:p>
    <w:p>
      <w:pPr>
        <w:pStyle w:val="Compact"/>
        <w:numPr>
          <w:ilvl w:val="0"/>
          <w:numId w:val="1014"/>
        </w:numPr>
      </w:pPr>
      <w:r>
        <w:t xml:space="preserve">continuity around debt reduction, equity issuance, and the Texas-led capital plan.</w:t>
      </w:r>
    </w:p>
    <w:p>
      <w:r>
        <w:pict>
          <v:rect style="width:0;height:1.5pt" o:hralign="center" o:hrstd="t" o:hr="t"/>
        </w:pict>
      </w:r>
    </w:p>
    <w:bookmarkEnd w:id="21"/>
    <w:bookmarkStart w:id="22" w:name="bull-case-for-the-quarter"/>
    <w:p>
      <w:pPr>
        <w:pStyle w:val="Heading2"/>
      </w:pPr>
      <w:r>
        <w:t xml:space="preserve">Bull case for the quarter</w:t>
      </w:r>
    </w:p>
    <w:p>
      <w:pPr>
        <w:pStyle w:val="FirstParagraph"/>
      </w:pPr>
      <w:r>
        <w:t xml:space="preserve">A constructive result would feature: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Adjusted EPS at or above expectations</w:t>
      </w:r>
      <w:r>
        <w:t xml:space="preserve"> </w:t>
      </w:r>
      <w:r>
        <w:t xml:space="preserve">without relying on derivatives or tax items.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Clear confirmation that SI Partners closes in 3Q</w:t>
      </w:r>
      <w:r>
        <w:t xml:space="preserve">, with limited remaining conditions.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 credible net-proceeds and parent-debt-reduction framework.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ECA LNG substantial completion</w:t>
      </w:r>
      <w:r>
        <w:t xml:space="preserve"> </w:t>
      </w:r>
      <w:r>
        <w:t xml:space="preserve">or confirmation that it is effectively imminent.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Oncor upside crystallizing</w:t>
      </w:r>
      <w:r>
        <w:t xml:space="preserve"> </w:t>
      </w:r>
      <w:r>
        <w:t xml:space="preserve">through UTM progress and increased confidence around incremental transmission projects.</w:t>
      </w:r>
    </w:p>
    <w:p>
      <w:pPr>
        <w:pStyle w:val="Compact"/>
        <w:numPr>
          <w:ilvl w:val="0"/>
          <w:numId w:val="1015"/>
        </w:numPr>
      </w:pPr>
      <w:r>
        <w:t xml:space="preserve">An unchanged</w:t>
      </w:r>
      <w:r>
        <w:t xml:space="preserve"> </w:t>
      </w:r>
      <m:oMath>
        <m:r>
          <m:t>4.80</m:t>
        </m:r>
        <m:r>
          <m:rPr>
            <m:sty m:val="p"/>
          </m:rPr>
          <m:t>–</m:t>
        </m:r>
      </m:oMath>
      <w:r>
        <w:rPr>
          <w:b/>
          <w:bCs/>
        </w:rPr>
        <w:t xml:space="preserve">5.30</w:t>
      </w:r>
      <w:r>
        <w:t xml:space="preserve"> </w:t>
      </w:r>
      <w:r>
        <w:t xml:space="preserve">adjusted EPS range accompanied by more confident language around the upper half of the range.</w:t>
      </w:r>
    </w:p>
    <w:p>
      <w:r>
        <w:pict>
          <v:rect style="width:0;height:1.5pt" o:hralign="center" o:hrstd="t" o:hr="t"/>
        </w:pict>
      </w:r>
    </w:p>
    <w:bookmarkEnd w:id="22"/>
    <w:bookmarkStart w:id="23" w:name="bear-case-for-the-quarter"/>
    <w:p>
      <w:pPr>
        <w:pStyle w:val="Heading2"/>
      </w:pPr>
      <w:r>
        <w:t xml:space="preserve">Bear case for the quarter</w:t>
      </w:r>
    </w:p>
    <w:p>
      <w:pPr>
        <w:pStyle w:val="FirstParagraph"/>
      </w:pPr>
      <w:r>
        <w:t xml:space="preserve">The key downside scenario is not necessarily a modest 2Q EPS miss; it is a delay in the sequence of strategic milestones. Watch for:</w:t>
      </w:r>
    </w:p>
    <w:p>
      <w:pPr>
        <w:pStyle w:val="Compact"/>
        <w:numPr>
          <w:ilvl w:val="0"/>
          <w:numId w:val="1016"/>
        </w:numPr>
      </w:pPr>
      <w:r>
        <w:t xml:space="preserve">SI Partners closing slipping beyond 3Q or new consent/financing complications.</w:t>
      </w:r>
    </w:p>
    <w:p>
      <w:pPr>
        <w:pStyle w:val="Compact"/>
        <w:numPr>
          <w:ilvl w:val="0"/>
          <w:numId w:val="1016"/>
        </w:numPr>
      </w:pPr>
      <w:r>
        <w:t xml:space="preserve">Less favorable-than-expected net proceeds or continuing parent-level funding needs.</w:t>
      </w:r>
    </w:p>
    <w:p>
      <w:pPr>
        <w:pStyle w:val="Compact"/>
        <w:numPr>
          <w:ilvl w:val="0"/>
          <w:numId w:val="1016"/>
        </w:numPr>
      </w:pPr>
      <w:r>
        <w:t xml:space="preserve">ECA LNG timing or cost slippage.</w:t>
      </w:r>
    </w:p>
    <w:p>
      <w:pPr>
        <w:pStyle w:val="Compact"/>
        <w:numPr>
          <w:ilvl w:val="0"/>
          <w:numId w:val="1016"/>
        </w:numPr>
      </w:pPr>
      <w:r>
        <w:t xml:space="preserve">Limited progress converting Texas data-center-related demand into approved, funded capital projects.</w:t>
      </w:r>
    </w:p>
    <w:p>
      <w:pPr>
        <w:pStyle w:val="Compact"/>
        <w:numPr>
          <w:ilvl w:val="0"/>
          <w:numId w:val="1016"/>
        </w:numPr>
      </w:pPr>
      <w:r>
        <w:t xml:space="preserve">Greater-than-expected California regulatory, wildfire-fund, or affordability pressure.</w:t>
      </w:r>
    </w:p>
    <w:p>
      <w:pPr>
        <w:pStyle w:val="Compact"/>
        <w:numPr>
          <w:ilvl w:val="0"/>
          <w:numId w:val="1016"/>
        </w:numPr>
      </w:pPr>
      <w:r>
        <w:t xml:space="preserve">Continued pressure on credit metrics that reduces financial flexibility.</w:t>
      </w:r>
    </w:p>
    <w:p>
      <w:r>
        <w:pict>
          <v:rect style="width:0;height:1.5pt" o:hralign="center" o:hrstd="t" o:hr="t"/>
        </w:pic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SRE’s 2Q26 report is primarily a proof-of-execution event.</w:t>
      </w:r>
      <w:r>
        <w:t xml:space="preserve"> </w:t>
      </w:r>
      <w:r>
        <w:t xml:space="preserve">The near-term earnings print matters, but the stock’s re-rating potential depends more on whether management can convert its strategic roadmap into hard milestones:</w:t>
      </w:r>
    </w:p>
    <w:p>
      <w:pPr>
        <w:pStyle w:val="Compact"/>
        <w:numPr>
          <w:ilvl w:val="0"/>
          <w:numId w:val="1017"/>
        </w:numPr>
      </w:pPr>
      <w:r>
        <w:t xml:space="preserve">close and deleverage through the SI Partners sale,</w:t>
      </w:r>
    </w:p>
    <w:p>
      <w:pPr>
        <w:pStyle w:val="Compact"/>
        <w:numPr>
          <w:ilvl w:val="0"/>
          <w:numId w:val="1017"/>
        </w:numPr>
      </w:pPr>
      <w:r>
        <w:t xml:space="preserve">demonstrate that ECA LNG is moving into commercial operation,</w:t>
      </w:r>
    </w:p>
    <w:p>
      <w:pPr>
        <w:pStyle w:val="Compact"/>
        <w:numPr>
          <w:ilvl w:val="0"/>
          <w:numId w:val="1017"/>
        </w:numPr>
      </w:pPr>
      <w:r>
        <w:t xml:space="preserve">capture the financial benefits of the Oncor rate outcome,</w:t>
      </w:r>
    </w:p>
    <w:p>
      <w:pPr>
        <w:pStyle w:val="Compact"/>
        <w:numPr>
          <w:ilvl w:val="0"/>
          <w:numId w:val="1017"/>
        </w:numPr>
      </w:pPr>
      <w:r>
        <w:t xml:space="preserve">and substantiate Texas capital upside without undermining credit quality.</w:t>
      </w:r>
    </w:p>
    <w:p>
      <w:pPr>
        <w:pStyle w:val="FirstParagraph"/>
      </w:pPr>
      <w:r>
        <w:t xml:space="preserve">The most important message for investors is likely to be:</w:t>
      </w:r>
      <w:r>
        <w:t xml:space="preserve"> </w:t>
      </w:r>
      <w:r>
        <w:rPr>
          <w:b/>
          <w:bCs/>
        </w:rPr>
        <w:t xml:space="preserve">How soon does Sempra become a cleaner, utility-centric company with a more visible Texas-led growth and return profile?</w:t>
      </w:r>
    </w:p>
    <w:p>
      <w:pPr>
        <w:pStyle w:val="BodyText"/>
      </w:pPr>
      <w:r>
        <w:rPr>
          <w:i/>
          <w:iCs/>
        </w:rPr>
        <w:t xml:space="preserve">Sources reviewed: Sempra 1Q26 earnings release, 1Q26 earnings-call transcript, 1Q26 Form 10-Q, 2Q25 earnings release, and July 2026 Form 8-K.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2026-08-06T00:47:51Z</dcterms:created>
  <dcterms:modified xsi:type="dcterms:W3CDTF">2026-08-06T00:47:51Z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